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Default Extension="emf" ContentType="image/x-emf"/>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Default Extension="gif" ContentType="image/gif"/>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98E" w:rsidRDefault="00C90EE4">
      <w:r>
        <w:t>Fake Patient 2</w:t>
      </w:r>
    </w:p>
    <w:p w:rsidR="00C90EE4" w:rsidRDefault="00C90EE4">
      <w:r>
        <w:t>Signed up for ADNI when they were originally diagnosed with MCI. Has now progressed to AD. Lots of test results including MRIs, FDG PET, PIB PET, CSF measures of tau and beta amyloid, multiple cognition tests, and range of genetic test including APOE. Prescribed Memantine</w:t>
      </w:r>
    </w:p>
    <w:p w:rsidR="00C90EE4" w:rsidRDefault="004101D3">
      <w:r>
        <w:t>Medical Conditions</w:t>
      </w:r>
    </w:p>
    <w:p w:rsidR="004101D3" w:rsidRPr="00450061" w:rsidRDefault="004101D3" w:rsidP="004101D3">
      <w:pPr>
        <w:rPr>
          <w:b/>
          <w:sz w:val="36"/>
          <w:szCs w:val="36"/>
          <w:lang w:val="en-GB"/>
        </w:rPr>
      </w:pPr>
      <w:r>
        <w:rPr>
          <w:lang w:val="en-GB"/>
        </w:rPr>
        <w:t>1)</w:t>
      </w:r>
      <w:r w:rsidRPr="00A32104">
        <w:rPr>
          <w:lang w:val="en-GB"/>
        </w:rPr>
        <w:t>Hypertension</w:t>
      </w:r>
    </w:p>
    <w:p w:rsidR="004101D3" w:rsidRPr="00A32104" w:rsidRDefault="004101D3" w:rsidP="004101D3">
      <w:pPr>
        <w:spacing w:line="240" w:lineRule="auto"/>
        <w:rPr>
          <w:lang w:val="en-GB"/>
        </w:rPr>
      </w:pPr>
      <w:r>
        <w:rPr>
          <w:lang w:val="en-GB"/>
        </w:rPr>
        <w:t>2)</w:t>
      </w:r>
      <w:r w:rsidRPr="00A32104">
        <w:rPr>
          <w:lang w:val="en-GB"/>
        </w:rPr>
        <w:t xml:space="preserve">Alzheimer’s Disease </w:t>
      </w:r>
    </w:p>
    <w:p w:rsidR="004101D3" w:rsidRDefault="004101D3" w:rsidP="004101D3">
      <w:pPr>
        <w:spacing w:line="240" w:lineRule="auto"/>
        <w:rPr>
          <w:lang w:val="en-GB"/>
        </w:rPr>
      </w:pPr>
      <w:r>
        <w:rPr>
          <w:lang w:val="en-GB"/>
        </w:rPr>
        <w:t>3)</w:t>
      </w:r>
      <w:r w:rsidRPr="00A32104">
        <w:rPr>
          <w:lang w:val="en-GB"/>
        </w:rPr>
        <w:t>Previous myocardial Infarction</w:t>
      </w:r>
    </w:p>
    <w:p w:rsidR="004101D3" w:rsidRDefault="004101D3" w:rsidP="004101D3">
      <w:pPr>
        <w:spacing w:line="240" w:lineRule="auto"/>
        <w:rPr>
          <w:lang w:val="en-GB"/>
        </w:rPr>
      </w:pPr>
      <w:r>
        <w:rPr>
          <w:lang w:val="en-GB"/>
        </w:rPr>
        <w:t>4)Depression</w:t>
      </w:r>
    </w:p>
    <w:p w:rsidR="004101D3" w:rsidRDefault="004101D3" w:rsidP="004101D3">
      <w:pPr>
        <w:spacing w:line="240" w:lineRule="auto"/>
        <w:rPr>
          <w:lang w:val="en-GB"/>
        </w:rPr>
      </w:pPr>
      <w:r>
        <w:rPr>
          <w:lang w:val="en-GB"/>
        </w:rPr>
        <w:t>5)Anxiety</w:t>
      </w:r>
    </w:p>
    <w:p w:rsidR="004101D3" w:rsidRDefault="004101D3" w:rsidP="004101D3">
      <w:pPr>
        <w:spacing w:line="240" w:lineRule="auto"/>
        <w:rPr>
          <w:lang w:val="en-GB"/>
        </w:rPr>
      </w:pPr>
    </w:p>
    <w:p w:rsidR="004101D3" w:rsidRDefault="004101D3" w:rsidP="004101D3">
      <w:pPr>
        <w:spacing w:line="240" w:lineRule="auto"/>
        <w:rPr>
          <w:lang w:val="en-GB"/>
        </w:rPr>
      </w:pPr>
      <w:r>
        <w:rPr>
          <w:lang w:val="en-GB"/>
        </w:rPr>
        <w:t>Drugs</w:t>
      </w:r>
    </w:p>
    <w:p w:rsidR="00DF15A5" w:rsidRDefault="00DF15A5" w:rsidP="004101D3">
      <w:pPr>
        <w:spacing w:line="240" w:lineRule="auto"/>
        <w:rPr>
          <w:lang w:val="en-GB"/>
        </w:rPr>
      </w:pPr>
      <w:r>
        <w:rPr>
          <w:lang w:val="en-GB"/>
        </w:rPr>
        <w:t>Aspirin</w:t>
      </w:r>
    </w:p>
    <w:p w:rsidR="004101D3" w:rsidRDefault="004101D3" w:rsidP="004101D3">
      <w:pPr>
        <w:spacing w:line="240" w:lineRule="auto"/>
        <w:rPr>
          <w:lang w:val="en-GB"/>
        </w:rPr>
      </w:pPr>
      <w:r>
        <w:rPr>
          <w:lang w:val="en-GB"/>
        </w:rPr>
        <w:t>Atorvastatin</w:t>
      </w:r>
      <w:r w:rsidR="00DF15A5">
        <w:rPr>
          <w:lang w:val="en-GB"/>
        </w:rPr>
        <w:t xml:space="preserve">  10mg od</w:t>
      </w:r>
    </w:p>
    <w:p w:rsidR="00DF15A5" w:rsidRDefault="004101D3" w:rsidP="004101D3">
      <w:pPr>
        <w:spacing w:line="240" w:lineRule="auto"/>
        <w:rPr>
          <w:lang w:val="en-GB"/>
        </w:rPr>
      </w:pPr>
      <w:r>
        <w:rPr>
          <w:lang w:val="en-GB"/>
        </w:rPr>
        <w:t>Clopidogrel</w:t>
      </w:r>
      <w:r w:rsidR="00DF15A5">
        <w:rPr>
          <w:lang w:val="en-GB"/>
        </w:rPr>
        <w:t xml:space="preserve">  85 mg od</w:t>
      </w:r>
    </w:p>
    <w:p w:rsidR="004101D3" w:rsidRDefault="004101D3" w:rsidP="004101D3">
      <w:pPr>
        <w:spacing w:line="240" w:lineRule="auto"/>
        <w:rPr>
          <w:lang w:val="en-GB"/>
        </w:rPr>
      </w:pPr>
      <w:r>
        <w:rPr>
          <w:lang w:val="en-GB"/>
        </w:rPr>
        <w:t>Fluoxetine</w:t>
      </w:r>
      <w:r w:rsidR="00DF15A5">
        <w:rPr>
          <w:lang w:val="en-GB"/>
        </w:rPr>
        <w:t xml:space="preserve">  20mg od</w:t>
      </w:r>
    </w:p>
    <w:p w:rsidR="004101D3" w:rsidRDefault="004101D3" w:rsidP="004101D3">
      <w:pPr>
        <w:spacing w:line="240" w:lineRule="auto"/>
        <w:rPr>
          <w:lang w:val="en-GB"/>
        </w:rPr>
      </w:pPr>
      <w:r>
        <w:rPr>
          <w:lang w:val="en-GB"/>
        </w:rPr>
        <w:t>Diazepam</w:t>
      </w:r>
      <w:r w:rsidR="00DF15A5">
        <w:rPr>
          <w:lang w:val="en-GB"/>
        </w:rPr>
        <w:t xml:space="preserve"> 5mg bid</w:t>
      </w:r>
    </w:p>
    <w:p w:rsidR="00DF15A5" w:rsidRDefault="00DF15A5" w:rsidP="004101D3">
      <w:pPr>
        <w:spacing w:line="240" w:lineRule="auto"/>
        <w:rPr>
          <w:lang w:val="en-GB"/>
        </w:rPr>
      </w:pPr>
      <w:r>
        <w:rPr>
          <w:lang w:val="en-GB"/>
        </w:rPr>
        <w:t>Carvedilol 6.25mg bid</w:t>
      </w:r>
    </w:p>
    <w:p w:rsidR="004101D3" w:rsidRDefault="004101D3" w:rsidP="004101D3">
      <w:pPr>
        <w:spacing w:line="240" w:lineRule="auto"/>
        <w:rPr>
          <w:lang w:val="en-GB"/>
        </w:rPr>
      </w:pPr>
      <w:r>
        <w:rPr>
          <w:lang w:val="en-GB"/>
        </w:rPr>
        <w:t>New :</w:t>
      </w:r>
    </w:p>
    <w:p w:rsidR="004101D3" w:rsidRDefault="004101D3" w:rsidP="004101D3">
      <w:pPr>
        <w:spacing w:line="240" w:lineRule="auto"/>
        <w:rPr>
          <w:lang w:val="en-GB"/>
        </w:rPr>
      </w:pPr>
      <w:r>
        <w:rPr>
          <w:lang w:val="en-GB"/>
        </w:rPr>
        <w:t>Memantine</w:t>
      </w:r>
      <w:r w:rsidR="00DF15A5">
        <w:rPr>
          <w:lang w:val="en-GB"/>
        </w:rPr>
        <w:t xml:space="preserve">  5mg od  (initial dose)</w:t>
      </w:r>
    </w:p>
    <w:p w:rsidR="00DF15A5" w:rsidRDefault="00DF15A5" w:rsidP="004101D3">
      <w:pPr>
        <w:spacing w:line="240" w:lineRule="auto"/>
        <w:rPr>
          <w:lang w:val="en-GB"/>
        </w:rPr>
      </w:pPr>
    </w:p>
    <w:p w:rsidR="009E7ADC" w:rsidRPr="009E7ADC" w:rsidRDefault="009E7ADC" w:rsidP="004101D3">
      <w:pPr>
        <w:spacing w:line="240" w:lineRule="auto"/>
        <w:rPr>
          <w:b/>
          <w:u w:val="single"/>
          <w:lang w:val="en-GB"/>
        </w:rPr>
      </w:pPr>
      <w:r w:rsidRPr="009E7ADC">
        <w:rPr>
          <w:b/>
          <w:u w:val="single"/>
          <w:lang w:val="en-GB"/>
        </w:rPr>
        <w:t>Pharmacogenomic Association Data</w:t>
      </w:r>
    </w:p>
    <w:p w:rsidR="009E7ADC" w:rsidRDefault="009E7ADC" w:rsidP="009E7ADC">
      <w:r>
        <w:rPr>
          <w:rStyle w:val="Strong"/>
        </w:rPr>
        <w:t>CYP2C19 poor metabolizer status</w:t>
      </w:r>
      <w:r>
        <w:t xml:space="preserve"> is associated with diminished response to </w:t>
      </w:r>
      <w:r w:rsidRPr="00482B99">
        <w:rPr>
          <w:b/>
          <w:color w:val="FF0000"/>
        </w:rPr>
        <w:t>Clopidogrel</w:t>
      </w:r>
      <w:r w:rsidRPr="00482B99">
        <w:rPr>
          <w:color w:val="FF0000"/>
        </w:rPr>
        <w:t>.</w:t>
      </w:r>
      <w:r>
        <w:t xml:space="preserve"> The optimal dose regimen for poor metabolizers has yet to be determined. (Dosage and Administration-Pharmacogenetics) Based on Literature data, patients with genetically reduced CYP2C19 function have lower systemic exposure to the active metabolite of clopidogrel and diminished antiplatelet responses and generally exhibit higher cardiovascular event rates following myocardial infraction than do patients with normal CYP2C19 function. (Precautions-Pharmacogenetics) CYP2C19 is involved in the formation of both the active metabolite and the 2-oxo-clopidrogrel intermediate metabolite. Clopidrogrel active metabolite pharmacokinetic and antiplatelet effects as measured by ex vivo platelet aggregation assays, differ according to CYP2C19 genotypes. The prevalence of CYP2C19 alleles that result in intermediate and poor CYP2C19 metabolism differs according to race/ethinicity. (Clinical Pharmacology-Pharmacogenetics)  (From FDA)</w:t>
      </w:r>
    </w:p>
    <w:p w:rsidR="009E7ADC" w:rsidRDefault="009E7ADC" w:rsidP="009E7ADC">
      <w:pPr>
        <w:rPr>
          <w:lang w:val="en-GB"/>
        </w:rPr>
      </w:pPr>
      <w:r>
        <w:rPr>
          <w:rStyle w:val="Strong"/>
        </w:rPr>
        <w:t>CYP2D6 PM and EM Variants and drug exposure and risk</w:t>
      </w:r>
      <w:r>
        <w:t xml:space="preserve">- “population, who are known to have a genetic defect leading to reduced levels of activity of P450 2D6. </w:t>
      </w:r>
      <w:r w:rsidRPr="00482B99">
        <w:rPr>
          <w:b/>
          <w:color w:val="FF0000"/>
        </w:rPr>
        <w:t>Fluoxetine</w:t>
      </w:r>
      <w:r>
        <w:t>, like other agents that are metabolized by P450IID6, inhibits the activity of this isoenzyme, and thus may make normal metabolizers resemble "poor metabolizers." Therapy with medications that are predominantly metabolized by the P450IID6 system and that have a relatively narrow therapeutic index should be initiated at the low end of the dose range if a patient is receiving fluoxetine concurrently or has taken it in the previous 5 weeks.”</w:t>
      </w:r>
    </w:p>
    <w:p w:rsidR="0086094E" w:rsidRDefault="009E7ADC" w:rsidP="0086094E">
      <w:pPr>
        <w:rPr>
          <w:b/>
        </w:rPr>
      </w:pPr>
      <w:r>
        <w:rPr>
          <w:rStyle w:val="Strong"/>
        </w:rPr>
        <w:t>CYP2C19 Variants (Poor Metabolizers-PM and Extensive Metabolizers-EM) with genetic defect leads to change in drug exposure</w:t>
      </w:r>
      <w:r>
        <w:t>. “</w:t>
      </w:r>
      <w:r>
        <w:rPr>
          <w:rStyle w:val="Emphasis"/>
        </w:rPr>
        <w:t xml:space="preserve">In vivo </w:t>
      </w:r>
      <w:r>
        <w:t xml:space="preserve">studies indicated that CYP2C19 is significantly involved in the metabolism of voriconazole. This enzyme exhibits genetic polymorphism. For example, 15-20% of Asian populations may be expected to be poor metabolizers. For Caucasians and Blacks, the prevalence of poor metabolizers is 3-5%. Studies conducted in Caucasian and Japanese healthy subjects have shown that poor metabolizers have, on average, 4-fold higher voriconazole exposure (AUCτ) than their homozygous extensive metabolizer counterparts. Subjects who are heterozygous extensive metabolizers have, on average, 2-fold higher voriconazole exposure than their homozygous extensive metabolizer counterparts.”  </w:t>
      </w:r>
      <w:r w:rsidRPr="009E7ADC">
        <w:rPr>
          <w:color w:val="FF0000"/>
        </w:rPr>
        <w:t>Diazepam</w:t>
      </w:r>
    </w:p>
    <w:p w:rsidR="0086094E" w:rsidRDefault="0086094E" w:rsidP="0086094E">
      <w:pPr>
        <w:rPr>
          <w:b/>
        </w:rPr>
      </w:pPr>
    </w:p>
    <w:p w:rsidR="0086094E" w:rsidRDefault="0086094E" w:rsidP="0086094E">
      <w:pPr>
        <w:rPr>
          <w:b/>
        </w:rPr>
      </w:pPr>
      <w:r>
        <w:rPr>
          <w:b/>
        </w:rPr>
        <w:t>Drug Interactions and Metabolism</w:t>
      </w:r>
    </w:p>
    <w:p w:rsidR="0086094E" w:rsidRDefault="0086094E" w:rsidP="0086094E">
      <w:pPr>
        <w:rPr>
          <w:b/>
        </w:rPr>
      </w:pPr>
      <w:r w:rsidRPr="00FE4AE7">
        <w:rPr>
          <w:b/>
        </w:rPr>
        <w:t>Cytochrome P 450 Subtype</w:t>
      </w:r>
      <w:r>
        <w:rPr>
          <w:b/>
        </w:rPr>
        <w:t xml:space="preserve">      </w:t>
      </w:r>
    </w:p>
    <w:p w:rsidR="0086094E" w:rsidRDefault="0086094E" w:rsidP="0086094E">
      <w:pPr>
        <w:rPr>
          <w:b/>
        </w:rPr>
      </w:pPr>
      <w:r>
        <w:rPr>
          <w:b/>
        </w:rPr>
        <w:t>Subtype indicated describes the specific isoenzymes of the P450 System responsible for the metabolism of the specific drugs patient has in their profile – this data can be found in Facts and Comparisons, Micromedex, The Drug Information Handbook, and is available to prescribers – It will likely be most accurate from these sources, which are at a fee.</w:t>
      </w:r>
    </w:p>
    <w:p w:rsidR="0086094E" w:rsidRPr="00FE4AE7" w:rsidRDefault="0086094E" w:rsidP="0086094E">
      <w:pPr>
        <w:rPr>
          <w:b/>
        </w:rPr>
      </w:pPr>
      <w:r>
        <w:rPr>
          <w:b/>
        </w:rPr>
        <w:t xml:space="preserve">(graphs indicate data </w:t>
      </w:r>
      <w:r w:rsidRPr="006C728C">
        <w:rPr>
          <w:b/>
          <w:color w:val="FF0000"/>
        </w:rPr>
        <w:t>we need to figure out how to obtain from genetic profiling and Pharm GKB)</w:t>
      </w:r>
      <w:r>
        <w:rPr>
          <w:b/>
          <w:color w:val="FF0000"/>
        </w:rPr>
        <w:t xml:space="preserve"> and provide to the prescriber!)</w:t>
      </w:r>
    </w:p>
    <w:p w:rsidR="0086094E" w:rsidRDefault="0086094E" w:rsidP="004101D3">
      <w:pPr>
        <w:spacing w:line="240" w:lineRule="auto"/>
        <w:rPr>
          <w:lang w:val="en-GB"/>
        </w:rPr>
      </w:pPr>
    </w:p>
    <w:p w:rsidR="0086094E" w:rsidRDefault="0086094E" w:rsidP="0086094E">
      <w:pPr>
        <w:rPr>
          <w:lang w:val="en-GB"/>
        </w:rPr>
      </w:pPr>
      <w:r>
        <w:rPr>
          <w:lang w:val="en-GB"/>
        </w:rPr>
        <w:t>1A2</w:t>
      </w:r>
    </w:p>
    <w:p w:rsidR="0086094E" w:rsidRDefault="0086094E" w:rsidP="0086094E">
      <w:pPr>
        <w:rPr>
          <w:lang w:val="en-GB"/>
        </w:rPr>
      </w:pPr>
      <w:r w:rsidRPr="0090724C">
        <w:rPr>
          <w:noProof/>
        </w:rPr>
        <w:drawing>
          <wp:inline distT="0" distB="0" distL="0" distR="0">
            <wp:extent cx="2018898" cy="1280160"/>
            <wp:effectExtent l="19050" t="0" r="402"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018898" cy="1280160"/>
                    </a:xfrm>
                    <a:prstGeom prst="rect">
                      <a:avLst/>
                    </a:prstGeom>
                    <a:noFill/>
                    <a:ln w="9525">
                      <a:noFill/>
                      <a:miter lim="800000"/>
                      <a:headEnd/>
                      <a:tailEnd/>
                    </a:ln>
                  </pic:spPr>
                </pic:pic>
              </a:graphicData>
            </a:graphic>
          </wp:inline>
        </w:drawing>
      </w:r>
    </w:p>
    <w:p w:rsidR="0086094E" w:rsidRDefault="0086094E" w:rsidP="0086094E">
      <w:pPr>
        <w:rPr>
          <w:lang w:val="en-GB"/>
        </w:rPr>
      </w:pPr>
      <w:r>
        <w:rPr>
          <w:lang w:val="en-GB"/>
        </w:rPr>
        <w:t>2C8</w:t>
      </w:r>
    </w:p>
    <w:p w:rsidR="0086094E" w:rsidRDefault="0086094E" w:rsidP="0086094E">
      <w:pPr>
        <w:rPr>
          <w:lang w:val="en-GB"/>
        </w:rPr>
      </w:pPr>
      <w:r>
        <w:rPr>
          <w:lang w:val="en-GB"/>
        </w:rPr>
        <w:t>CLOPIDOGREL – inhibitor</w:t>
      </w:r>
    </w:p>
    <w:p w:rsidR="0086094E" w:rsidRDefault="0086094E" w:rsidP="0086094E">
      <w:pPr>
        <w:rPr>
          <w:lang w:val="en-GB"/>
        </w:rPr>
      </w:pPr>
      <w:r>
        <w:rPr>
          <w:lang w:val="en-GB"/>
        </w:rPr>
        <w:t>CARVEDILOL - major</w:t>
      </w:r>
    </w:p>
    <w:p w:rsidR="0086094E" w:rsidRDefault="0086094E" w:rsidP="0086094E">
      <w:pPr>
        <w:rPr>
          <w:lang w:val="en-GB"/>
        </w:rPr>
      </w:pPr>
      <w:r w:rsidRPr="0090724C">
        <w:rPr>
          <w:noProof/>
        </w:rPr>
        <w:drawing>
          <wp:inline distT="0" distB="0" distL="0" distR="0">
            <wp:extent cx="2018898" cy="1280160"/>
            <wp:effectExtent l="19050" t="0" r="402"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018898" cy="1280160"/>
                    </a:xfrm>
                    <a:prstGeom prst="rect">
                      <a:avLst/>
                    </a:prstGeom>
                    <a:noFill/>
                    <a:ln w="9525">
                      <a:noFill/>
                      <a:miter lim="800000"/>
                      <a:headEnd/>
                      <a:tailEnd/>
                    </a:ln>
                  </pic:spPr>
                </pic:pic>
              </a:graphicData>
            </a:graphic>
          </wp:inline>
        </w:drawing>
      </w:r>
    </w:p>
    <w:p w:rsidR="0086094E" w:rsidRDefault="0086094E" w:rsidP="0086094E">
      <w:pPr>
        <w:rPr>
          <w:lang w:val="en-GB"/>
        </w:rPr>
      </w:pPr>
      <w:r>
        <w:rPr>
          <w:lang w:val="en-GB"/>
        </w:rPr>
        <w:t>2C9</w:t>
      </w:r>
    </w:p>
    <w:p w:rsidR="0086094E" w:rsidRDefault="0086094E" w:rsidP="0086094E">
      <w:pPr>
        <w:rPr>
          <w:lang w:val="en-GB"/>
        </w:rPr>
      </w:pPr>
      <w:r>
        <w:rPr>
          <w:lang w:val="en-GB"/>
        </w:rPr>
        <w:t>CARVEDILOL - major</w:t>
      </w:r>
    </w:p>
    <w:p w:rsidR="0086094E" w:rsidRDefault="0086094E" w:rsidP="0086094E">
      <w:pPr>
        <w:rPr>
          <w:lang w:val="en-GB"/>
        </w:rPr>
      </w:pPr>
      <w:r>
        <w:rPr>
          <w:lang w:val="en-GB"/>
        </w:rPr>
        <w:t>CLOPIDOGREL - inhibior</w:t>
      </w:r>
    </w:p>
    <w:p w:rsidR="0086094E" w:rsidRDefault="0086094E" w:rsidP="0086094E">
      <w:pPr>
        <w:rPr>
          <w:lang w:val="en-GB"/>
        </w:rPr>
      </w:pPr>
      <w:r w:rsidRPr="0090724C">
        <w:rPr>
          <w:noProof/>
        </w:rPr>
        <w:drawing>
          <wp:inline distT="0" distB="0" distL="0" distR="0">
            <wp:extent cx="2018898" cy="1280160"/>
            <wp:effectExtent l="19050" t="0" r="402"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018898" cy="1280160"/>
                    </a:xfrm>
                    <a:prstGeom prst="rect">
                      <a:avLst/>
                    </a:prstGeom>
                    <a:noFill/>
                    <a:ln w="9525">
                      <a:noFill/>
                      <a:miter lim="800000"/>
                      <a:headEnd/>
                      <a:tailEnd/>
                    </a:ln>
                  </pic:spPr>
                </pic:pic>
              </a:graphicData>
            </a:graphic>
          </wp:inline>
        </w:drawing>
      </w:r>
    </w:p>
    <w:p w:rsidR="0086094E" w:rsidRDefault="0086094E" w:rsidP="0086094E">
      <w:pPr>
        <w:rPr>
          <w:lang w:val="en-GB"/>
        </w:rPr>
      </w:pPr>
      <w:r>
        <w:rPr>
          <w:lang w:val="en-GB"/>
        </w:rPr>
        <w:t>2C19</w:t>
      </w:r>
    </w:p>
    <w:p w:rsidR="0086094E" w:rsidRDefault="0086094E" w:rsidP="0086094E">
      <w:pPr>
        <w:rPr>
          <w:lang w:val="en-GB"/>
        </w:rPr>
      </w:pPr>
      <w:r>
        <w:rPr>
          <w:lang w:val="en-GB"/>
        </w:rPr>
        <w:t>DIAZEPAM - major</w:t>
      </w:r>
    </w:p>
    <w:p w:rsidR="0086094E" w:rsidRDefault="0086094E" w:rsidP="0086094E">
      <w:pPr>
        <w:rPr>
          <w:lang w:val="en-GB"/>
        </w:rPr>
      </w:pPr>
      <w:r>
        <w:rPr>
          <w:lang w:val="en-GB"/>
        </w:rPr>
        <w:t>CLOPIDOGREL  (See notes below)</w:t>
      </w:r>
    </w:p>
    <w:p w:rsidR="0086094E" w:rsidRDefault="0086094E" w:rsidP="0086094E">
      <w:pPr>
        <w:rPr>
          <w:lang w:val="en-GB"/>
        </w:rPr>
      </w:pPr>
      <w:r w:rsidRPr="0090724C">
        <w:rPr>
          <w:noProof/>
        </w:rPr>
        <w:drawing>
          <wp:inline distT="0" distB="0" distL="0" distR="0">
            <wp:extent cx="2018898" cy="1280160"/>
            <wp:effectExtent l="19050" t="0" r="402"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018898" cy="1280160"/>
                    </a:xfrm>
                    <a:prstGeom prst="rect">
                      <a:avLst/>
                    </a:prstGeom>
                    <a:noFill/>
                    <a:ln w="9525">
                      <a:noFill/>
                      <a:miter lim="800000"/>
                      <a:headEnd/>
                      <a:tailEnd/>
                    </a:ln>
                  </pic:spPr>
                </pic:pic>
              </a:graphicData>
            </a:graphic>
          </wp:inline>
        </w:drawing>
      </w:r>
    </w:p>
    <w:p w:rsidR="0086094E" w:rsidRDefault="0086094E" w:rsidP="0086094E">
      <w:pPr>
        <w:rPr>
          <w:lang w:val="en-GB"/>
        </w:rPr>
      </w:pPr>
      <w:r>
        <w:rPr>
          <w:lang w:val="en-GB"/>
        </w:rPr>
        <w:t xml:space="preserve">2D6  </w:t>
      </w:r>
    </w:p>
    <w:p w:rsidR="0086094E" w:rsidRDefault="0086094E" w:rsidP="0086094E">
      <w:pPr>
        <w:rPr>
          <w:lang w:val="en-GB"/>
        </w:rPr>
      </w:pPr>
      <w:r>
        <w:rPr>
          <w:lang w:val="en-GB"/>
        </w:rPr>
        <w:t>CARVEDILOL – unclassified substrate</w:t>
      </w:r>
    </w:p>
    <w:p w:rsidR="0086094E" w:rsidRDefault="0086094E" w:rsidP="0086094E">
      <w:pPr>
        <w:rPr>
          <w:lang w:val="en-GB"/>
        </w:rPr>
      </w:pPr>
      <w:r>
        <w:rPr>
          <w:lang w:val="en-GB"/>
        </w:rPr>
        <w:t>FLUOXETINE  strong inhibitor</w:t>
      </w:r>
    </w:p>
    <w:p w:rsidR="0086094E" w:rsidRDefault="0086094E" w:rsidP="0086094E">
      <w:pPr>
        <w:rPr>
          <w:lang w:val="en-GB"/>
        </w:rPr>
      </w:pPr>
      <w:r>
        <w:rPr>
          <w:lang w:val="en-GB"/>
        </w:rPr>
        <w:t>DONEPEZIL substrate</w:t>
      </w:r>
    </w:p>
    <w:p w:rsidR="0086094E" w:rsidRDefault="0086094E" w:rsidP="0086094E">
      <w:pPr>
        <w:rPr>
          <w:lang w:val="en-GB"/>
        </w:rPr>
      </w:pPr>
      <w:r w:rsidRPr="0090724C">
        <w:rPr>
          <w:noProof/>
        </w:rPr>
        <w:drawing>
          <wp:inline distT="0" distB="0" distL="0" distR="0">
            <wp:extent cx="2018898" cy="1280160"/>
            <wp:effectExtent l="19050" t="0" r="402"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018898" cy="1280160"/>
                    </a:xfrm>
                    <a:prstGeom prst="rect">
                      <a:avLst/>
                    </a:prstGeom>
                    <a:noFill/>
                    <a:ln w="9525">
                      <a:noFill/>
                      <a:miter lim="800000"/>
                      <a:headEnd/>
                      <a:tailEnd/>
                    </a:ln>
                  </pic:spPr>
                </pic:pic>
              </a:graphicData>
            </a:graphic>
          </wp:inline>
        </w:drawing>
      </w:r>
    </w:p>
    <w:p w:rsidR="0086094E" w:rsidRDefault="0086094E" w:rsidP="0086094E">
      <w:pPr>
        <w:rPr>
          <w:lang w:val="en-GB"/>
        </w:rPr>
      </w:pPr>
      <w:r>
        <w:rPr>
          <w:lang w:val="en-GB"/>
        </w:rPr>
        <w:t xml:space="preserve">3A4   -   </w:t>
      </w:r>
    </w:p>
    <w:p w:rsidR="0086094E" w:rsidRDefault="0086094E" w:rsidP="0086094E">
      <w:pPr>
        <w:rPr>
          <w:lang w:val="en-GB"/>
        </w:rPr>
      </w:pPr>
      <w:r>
        <w:rPr>
          <w:lang w:val="en-GB"/>
        </w:rPr>
        <w:t>DIAZEPAM – major unclassified</w:t>
      </w:r>
    </w:p>
    <w:p w:rsidR="0086094E" w:rsidRDefault="0086094E" w:rsidP="0086094E">
      <w:pPr>
        <w:rPr>
          <w:lang w:val="en-GB"/>
        </w:rPr>
      </w:pPr>
      <w:r>
        <w:rPr>
          <w:lang w:val="en-GB"/>
        </w:rPr>
        <w:t xml:space="preserve">ATORVASTATIN   major substrate </w:t>
      </w:r>
    </w:p>
    <w:p w:rsidR="0086094E" w:rsidRDefault="0086094E" w:rsidP="0086094E">
      <w:pPr>
        <w:rPr>
          <w:lang w:val="en-GB"/>
        </w:rPr>
      </w:pPr>
      <w:r>
        <w:rPr>
          <w:lang w:val="en-GB"/>
        </w:rPr>
        <w:t>DONEPEZIL substrate</w:t>
      </w:r>
    </w:p>
    <w:p w:rsidR="0086094E" w:rsidRDefault="0086094E" w:rsidP="0086094E">
      <w:pPr>
        <w:rPr>
          <w:lang w:val="en-GB"/>
        </w:rPr>
      </w:pPr>
      <w:r w:rsidRPr="0090724C">
        <w:rPr>
          <w:noProof/>
        </w:rPr>
        <w:drawing>
          <wp:inline distT="0" distB="0" distL="0" distR="0">
            <wp:extent cx="2018898" cy="1280160"/>
            <wp:effectExtent l="19050" t="0" r="402"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018898" cy="1280160"/>
                    </a:xfrm>
                    <a:prstGeom prst="rect">
                      <a:avLst/>
                    </a:prstGeom>
                    <a:noFill/>
                    <a:ln w="9525">
                      <a:noFill/>
                      <a:miter lim="800000"/>
                      <a:headEnd/>
                      <a:tailEnd/>
                    </a:ln>
                  </pic:spPr>
                </pic:pic>
              </a:graphicData>
            </a:graphic>
          </wp:inline>
        </w:drawing>
      </w:r>
    </w:p>
    <w:p w:rsidR="00DF15A5" w:rsidRDefault="00DF15A5" w:rsidP="004101D3">
      <w:pPr>
        <w:spacing w:line="240" w:lineRule="auto"/>
        <w:rPr>
          <w:lang w:val="en-GB"/>
        </w:rPr>
      </w:pPr>
    </w:p>
    <w:p w:rsidR="009F22AC" w:rsidRPr="009F22AC" w:rsidRDefault="009F22AC" w:rsidP="004101D3">
      <w:pPr>
        <w:spacing w:line="240" w:lineRule="auto"/>
        <w:rPr>
          <w:b/>
          <w:lang w:val="en-GB"/>
        </w:rPr>
      </w:pPr>
      <w:r w:rsidRPr="009F22AC">
        <w:rPr>
          <w:b/>
          <w:lang w:val="en-GB"/>
        </w:rPr>
        <w:t>To note :</w:t>
      </w:r>
    </w:p>
    <w:p w:rsidR="009F22AC" w:rsidRPr="00A32104" w:rsidRDefault="009F22AC" w:rsidP="004101D3">
      <w:pPr>
        <w:spacing w:line="240" w:lineRule="auto"/>
        <w:rPr>
          <w:lang w:val="en-GB"/>
        </w:rPr>
      </w:pPr>
      <w:r>
        <w:rPr>
          <w:lang w:val="en-GB"/>
        </w:rPr>
        <w:t>Clearance of Memantine is decreased 80% at urinary PH 8 ; use caution with medications (carbonic anhydrase inhibitors, sodium bicarbonate) which may increase urinary PH</w:t>
      </w:r>
    </w:p>
    <w:p w:rsidR="00C90EE4" w:rsidRDefault="00C90EE4"/>
    <w:p w:rsidR="009F22AC" w:rsidRDefault="009F22AC" w:rsidP="00C90EE4">
      <w:pPr>
        <w:spacing w:before="100" w:beforeAutospacing="1" w:after="100" w:afterAutospacing="1" w:line="240" w:lineRule="auto"/>
        <w:outlineLvl w:val="1"/>
        <w:rPr>
          <w:rFonts w:ascii="Times New Roman" w:eastAsia="Times New Roman" w:hAnsi="Times New Roman"/>
          <w:b/>
          <w:bCs/>
          <w:sz w:val="36"/>
          <w:szCs w:val="36"/>
        </w:rPr>
      </w:pPr>
    </w:p>
    <w:p w:rsidR="009F22AC" w:rsidRDefault="009F22AC" w:rsidP="00C90EE4">
      <w:pPr>
        <w:spacing w:before="100" w:beforeAutospacing="1" w:after="100" w:afterAutospacing="1" w:line="240" w:lineRule="auto"/>
        <w:outlineLvl w:val="1"/>
        <w:rPr>
          <w:rFonts w:ascii="Times New Roman" w:eastAsia="Times New Roman" w:hAnsi="Times New Roman"/>
          <w:b/>
          <w:bCs/>
          <w:sz w:val="36"/>
          <w:szCs w:val="36"/>
        </w:rPr>
      </w:pPr>
    </w:p>
    <w:p w:rsidR="009F22AC" w:rsidRDefault="009F22AC" w:rsidP="00C90EE4">
      <w:pPr>
        <w:spacing w:before="100" w:beforeAutospacing="1" w:after="100" w:afterAutospacing="1" w:line="240" w:lineRule="auto"/>
        <w:outlineLvl w:val="1"/>
        <w:rPr>
          <w:rFonts w:ascii="Times New Roman" w:eastAsia="Times New Roman" w:hAnsi="Times New Roman"/>
          <w:b/>
          <w:bCs/>
          <w:sz w:val="36"/>
          <w:szCs w:val="36"/>
        </w:rPr>
      </w:pPr>
    </w:p>
    <w:p w:rsidR="009F22AC" w:rsidRDefault="009F22AC" w:rsidP="00C90EE4">
      <w:pPr>
        <w:spacing w:before="100" w:beforeAutospacing="1" w:after="100" w:afterAutospacing="1" w:line="240" w:lineRule="auto"/>
        <w:outlineLvl w:val="1"/>
        <w:rPr>
          <w:rFonts w:ascii="Times New Roman" w:eastAsia="Times New Roman" w:hAnsi="Times New Roman"/>
          <w:b/>
          <w:bCs/>
          <w:sz w:val="36"/>
          <w:szCs w:val="36"/>
        </w:rPr>
      </w:pPr>
    </w:p>
    <w:p w:rsidR="009F22AC" w:rsidRDefault="009F22AC" w:rsidP="00C90EE4">
      <w:pPr>
        <w:spacing w:before="100" w:beforeAutospacing="1" w:after="100" w:afterAutospacing="1" w:line="240" w:lineRule="auto"/>
        <w:outlineLvl w:val="1"/>
        <w:rPr>
          <w:rFonts w:ascii="Times New Roman" w:eastAsia="Times New Roman" w:hAnsi="Times New Roman"/>
          <w:b/>
          <w:bCs/>
          <w:sz w:val="36"/>
          <w:szCs w:val="36"/>
        </w:rPr>
      </w:pPr>
    </w:p>
    <w:p w:rsidR="00C90EE4" w:rsidRDefault="009F22AC" w:rsidP="00C90EE4">
      <w:pPr>
        <w:spacing w:before="100" w:beforeAutospacing="1" w:after="100" w:afterAutospacing="1" w:line="240" w:lineRule="auto"/>
        <w:outlineLvl w:val="1"/>
        <w:rPr>
          <w:rFonts w:ascii="Times New Roman" w:eastAsia="Times New Roman" w:hAnsi="Times New Roman"/>
          <w:b/>
          <w:bCs/>
          <w:sz w:val="36"/>
          <w:szCs w:val="36"/>
        </w:rPr>
      </w:pPr>
      <w:r>
        <w:rPr>
          <w:rFonts w:ascii="Times New Roman" w:eastAsia="Times New Roman" w:hAnsi="Times New Roman"/>
          <w:b/>
          <w:bCs/>
          <w:sz w:val="36"/>
          <w:szCs w:val="36"/>
        </w:rPr>
        <w:t>Genetic/Biomarker Association Data</w:t>
      </w:r>
    </w:p>
    <w:p w:rsidR="009F22AC" w:rsidRDefault="009F22AC" w:rsidP="00C90EE4">
      <w:pPr>
        <w:spacing w:before="100" w:beforeAutospacing="1" w:after="100" w:afterAutospacing="1" w:line="240" w:lineRule="auto"/>
        <w:outlineLvl w:val="1"/>
        <w:rPr>
          <w:rFonts w:ascii="Times New Roman" w:eastAsia="Times New Roman" w:hAnsi="Times New Roman"/>
          <w:b/>
          <w:bCs/>
          <w:sz w:val="36"/>
          <w:szCs w:val="36"/>
        </w:rPr>
      </w:pPr>
      <w:r>
        <w:rPr>
          <w:rFonts w:ascii="Times New Roman" w:eastAsia="Times New Roman" w:hAnsi="Times New Roman"/>
          <w:b/>
          <w:bCs/>
          <w:noProof/>
          <w:sz w:val="36"/>
          <w:szCs w:val="36"/>
        </w:rPr>
        <w:drawing>
          <wp:inline distT="0" distB="0" distL="0" distR="0">
            <wp:extent cx="5943600" cy="434611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4346111"/>
                    </a:xfrm>
                    <a:prstGeom prst="rect">
                      <a:avLst/>
                    </a:prstGeom>
                    <a:noFill/>
                    <a:ln w="9525">
                      <a:noFill/>
                      <a:miter lim="800000"/>
                      <a:headEnd/>
                      <a:tailEnd/>
                    </a:ln>
                  </pic:spPr>
                </pic:pic>
              </a:graphicData>
            </a:graphic>
          </wp:inline>
        </w:drawing>
      </w:r>
    </w:p>
    <w:p w:rsidR="004101D3" w:rsidRPr="009F22AC" w:rsidRDefault="009F22AC" w:rsidP="00C90EE4">
      <w:pPr>
        <w:spacing w:before="100" w:beforeAutospacing="1" w:after="100" w:afterAutospacing="1" w:line="240" w:lineRule="auto"/>
        <w:outlineLvl w:val="1"/>
        <w:rPr>
          <w:rFonts w:ascii="Times New Roman" w:eastAsia="Times New Roman" w:hAnsi="Times New Roman"/>
          <w:b/>
          <w:bCs/>
          <w:sz w:val="24"/>
          <w:szCs w:val="24"/>
        </w:rPr>
      </w:pPr>
      <w:r w:rsidRPr="009F22AC">
        <w:rPr>
          <w:rFonts w:ascii="Times New Roman" w:eastAsia="Times New Roman" w:hAnsi="Times New Roman"/>
          <w:b/>
          <w:bCs/>
          <w:sz w:val="24"/>
          <w:szCs w:val="24"/>
        </w:rPr>
        <w:t>http://www.ncbi.nlm.nih.gov/pmc/articles/PMC2731690/pdf/PE_5_02_51.pdf</w:t>
      </w:r>
    </w:p>
    <w:tbl>
      <w:tblPr>
        <w:tblW w:w="5000" w:type="pct"/>
        <w:tblCellSpacing w:w="0" w:type="dxa"/>
        <w:tblCellMar>
          <w:left w:w="0" w:type="dxa"/>
          <w:right w:w="0" w:type="dxa"/>
        </w:tblCellMar>
        <w:tblLook w:val="04A0"/>
      </w:tblPr>
      <w:tblGrid>
        <w:gridCol w:w="5669"/>
        <w:gridCol w:w="3721"/>
      </w:tblGrid>
      <w:tr w:rsidR="002A0833" w:rsidRPr="002A0833">
        <w:trPr>
          <w:tblCellSpacing w:w="0" w:type="dxa"/>
        </w:trPr>
        <w:tc>
          <w:tcPr>
            <w:tcW w:w="0" w:type="auto"/>
          </w:tcPr>
          <w:p w:rsidR="002A0833" w:rsidRPr="002A0833" w:rsidRDefault="002A0833" w:rsidP="002A0833">
            <w:pPr>
              <w:spacing w:after="0" w:line="240" w:lineRule="auto"/>
              <w:rPr>
                <w:rFonts w:ascii="Times New Roman" w:eastAsia="Times New Roman" w:hAnsi="Times New Roman" w:cs="Times New Roman"/>
                <w:sz w:val="24"/>
                <w:szCs w:val="24"/>
              </w:rPr>
            </w:pPr>
            <w:r w:rsidRPr="002A0833">
              <w:rPr>
                <w:rFonts w:ascii="Times New Roman" w:eastAsia="Times New Roman" w:hAnsi="Times New Roman" w:cs="Times New Roman"/>
                <w:sz w:val="24"/>
                <w:szCs w:val="24"/>
              </w:rPr>
              <w:t xml:space="preserve">Psychiatry (Edgmont). 5(2): 51–56. </w:t>
            </w:r>
          </w:p>
          <w:p w:rsidR="002A0833" w:rsidRPr="002A0833" w:rsidRDefault="002A0833" w:rsidP="002A0833">
            <w:pPr>
              <w:spacing w:after="0" w:line="240" w:lineRule="auto"/>
              <w:rPr>
                <w:rFonts w:ascii="Times New Roman" w:eastAsia="Times New Roman" w:hAnsi="Times New Roman" w:cs="Times New Roman"/>
                <w:sz w:val="24"/>
                <w:szCs w:val="24"/>
              </w:rPr>
            </w:pPr>
            <w:r w:rsidRPr="002A0833">
              <w:rPr>
                <w:rFonts w:ascii="Times New Roman" w:eastAsia="Times New Roman" w:hAnsi="Times New Roman" w:cs="Times New Roman"/>
                <w:sz w:val="24"/>
                <w:szCs w:val="24"/>
              </w:rPr>
              <w:t xml:space="preserve">Published online 2008 February. </w:t>
            </w:r>
          </w:p>
        </w:tc>
        <w:tc>
          <w:tcPr>
            <w:tcW w:w="0" w:type="auto"/>
          </w:tcPr>
          <w:p w:rsidR="002A0833" w:rsidRPr="002A0833" w:rsidRDefault="002A0833" w:rsidP="002A0833">
            <w:pPr>
              <w:spacing w:after="0" w:line="240" w:lineRule="auto"/>
              <w:rPr>
                <w:rFonts w:ascii="Times New Roman" w:eastAsia="Times New Roman" w:hAnsi="Times New Roman" w:cs="Times New Roman"/>
                <w:sz w:val="24"/>
                <w:szCs w:val="24"/>
              </w:rPr>
            </w:pPr>
            <w:r w:rsidRPr="002A0833">
              <w:rPr>
                <w:rFonts w:ascii="Times New Roman" w:eastAsia="Times New Roman" w:hAnsi="Times New Roman" w:cs="Times New Roman"/>
                <w:sz w:val="24"/>
                <w:szCs w:val="24"/>
              </w:rPr>
              <w:t>PMCID: PMC2731690</w:t>
            </w:r>
          </w:p>
        </w:tc>
      </w:tr>
    </w:tbl>
    <w:p w:rsidR="002A0833" w:rsidRPr="002A0833" w:rsidRDefault="00B67B0D" w:rsidP="002A0833">
      <w:pPr>
        <w:spacing w:after="0" w:line="240" w:lineRule="auto"/>
        <w:rPr>
          <w:rFonts w:ascii="Times New Roman" w:eastAsia="Times New Roman" w:hAnsi="Times New Roman" w:cs="Times New Roman"/>
          <w:sz w:val="24"/>
          <w:szCs w:val="24"/>
        </w:rPr>
      </w:pPr>
      <w:hyperlink r:id="rId6" w:history="1">
        <w:r w:rsidR="002A0833" w:rsidRPr="002A0833">
          <w:rPr>
            <w:rFonts w:ascii="Times New Roman" w:eastAsia="Times New Roman" w:hAnsi="Times New Roman" w:cs="Times New Roman"/>
            <w:color w:val="0000FF"/>
            <w:sz w:val="24"/>
            <w:szCs w:val="24"/>
            <w:u w:val="single"/>
          </w:rPr>
          <w:t>Copyright notice</w:t>
        </w:r>
      </w:hyperlink>
      <w:r w:rsidR="002A0833" w:rsidRPr="002A0833">
        <w:rPr>
          <w:rFonts w:ascii="Times New Roman" w:eastAsia="Times New Roman" w:hAnsi="Times New Roman" w:cs="Times New Roman"/>
          <w:sz w:val="24"/>
          <w:szCs w:val="24"/>
        </w:rPr>
        <w:t xml:space="preserve"> </w:t>
      </w:r>
    </w:p>
    <w:p w:rsidR="002A0833" w:rsidRPr="002A0833" w:rsidRDefault="002A0833" w:rsidP="002A0833">
      <w:pPr>
        <w:spacing w:after="0" w:line="240" w:lineRule="auto"/>
        <w:rPr>
          <w:rFonts w:ascii="Times New Roman" w:eastAsia="Times New Roman" w:hAnsi="Times New Roman" w:cs="Times New Roman"/>
          <w:sz w:val="24"/>
          <w:szCs w:val="24"/>
        </w:rPr>
      </w:pPr>
      <w:r w:rsidRPr="002A0833">
        <w:rPr>
          <w:rFonts w:ascii="Times New Roman" w:eastAsia="Times New Roman" w:hAnsi="Times New Roman" w:cs="Times New Roman"/>
          <w:sz w:val="24"/>
          <w:szCs w:val="24"/>
        </w:rPr>
        <w:t>Biomarkers for the Identification and Treatment of Dementia</w:t>
      </w:r>
    </w:p>
    <w:p w:rsidR="002A0833" w:rsidRPr="002A0833" w:rsidRDefault="002A0833" w:rsidP="002A0833">
      <w:pPr>
        <w:spacing w:after="0" w:line="240" w:lineRule="auto"/>
        <w:rPr>
          <w:rFonts w:ascii="Times New Roman" w:eastAsia="Times New Roman" w:hAnsi="Times New Roman" w:cs="Times New Roman"/>
          <w:sz w:val="24"/>
          <w:szCs w:val="24"/>
        </w:rPr>
      </w:pPr>
      <w:r w:rsidRPr="002A0833">
        <w:rPr>
          <w:rFonts w:ascii="Times New Roman" w:eastAsia="Times New Roman" w:hAnsi="Times New Roman" w:cs="Times New Roman"/>
          <w:sz w:val="24"/>
          <w:szCs w:val="24"/>
        </w:rPr>
        <w:t>Steven D. Targum, MD</w:t>
      </w:r>
      <w:r>
        <w:rPr>
          <w:rFonts w:ascii="Times New Roman" w:eastAsia="Times New Roman" w:hAnsi="Times New Roman" w:cs="Times New Roman"/>
          <w:noProof/>
          <w:sz w:val="24"/>
          <w:szCs w:val="24"/>
          <w:vertAlign w:val="superscript"/>
        </w:rPr>
        <w:drawing>
          <wp:inline distT="0" distB="0" distL="0" distR="0">
            <wp:extent cx="66675" cy="85725"/>
            <wp:effectExtent l="19050" t="0" r="9525" b="0"/>
            <wp:docPr id="2" name="Picture 2" descr="corresponding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responding author"/>
                    <pic:cNvPicPr>
                      <a:picLocks noChangeAspect="1" noChangeArrowheads="1"/>
                    </pic:cNvPicPr>
                  </pic:nvPicPr>
                  <pic:blipFill>
                    <a:blip r:embed="rId7" cstate="print"/>
                    <a:srcRect/>
                    <a:stretch>
                      <a:fillRect/>
                    </a:stretch>
                  </pic:blipFill>
                  <pic:spPr bwMode="auto">
                    <a:xfrm>
                      <a:off x="0" y="0"/>
                      <a:ext cx="66675" cy="85725"/>
                    </a:xfrm>
                    <a:prstGeom prst="rect">
                      <a:avLst/>
                    </a:prstGeom>
                    <a:noFill/>
                    <a:ln w="9525">
                      <a:noFill/>
                      <a:miter lim="800000"/>
                      <a:headEnd/>
                      <a:tailEnd/>
                    </a:ln>
                  </pic:spPr>
                </pic:pic>
              </a:graphicData>
            </a:graphic>
          </wp:inline>
        </w:drawing>
      </w:r>
    </w:p>
    <w:p w:rsidR="002A0833" w:rsidRDefault="002A0833" w:rsidP="002A0833">
      <w:pPr>
        <w:spacing w:after="0" w:line="240" w:lineRule="auto"/>
        <w:rPr>
          <w:rFonts w:ascii="Times New Roman" w:eastAsia="Times New Roman" w:hAnsi="Times New Roman" w:cs="Times New Roman"/>
          <w:sz w:val="24"/>
          <w:szCs w:val="24"/>
        </w:rPr>
      </w:pPr>
    </w:p>
    <w:p w:rsidR="002A0833" w:rsidRPr="002A0833" w:rsidRDefault="002A0833" w:rsidP="002A0833">
      <w:pPr>
        <w:spacing w:after="0" w:line="240" w:lineRule="auto"/>
        <w:rPr>
          <w:rFonts w:ascii="Times New Roman" w:eastAsia="Times New Roman" w:hAnsi="Times New Roman" w:cs="Times New Roman"/>
          <w:sz w:val="24"/>
          <w:szCs w:val="24"/>
        </w:rPr>
      </w:pPr>
      <w:r w:rsidRPr="002A0833">
        <w:rPr>
          <w:rFonts w:ascii="Times New Roman" w:eastAsia="Times New Roman" w:hAnsi="Times New Roman" w:cs="Times New Roman"/>
          <w:sz w:val="24"/>
          <w:szCs w:val="24"/>
        </w:rPr>
        <w:t>Research suggesting the involvement of glutamatergic neuronal excitotoxicity in AD led to the development and introduction of memantine, a novel NMDA receptor antagonist that has been shown to be moderately effective in AD. Memantine apparently inhibits the prolonged influx of Ca2+ ions which forms the basis of neuronal excitotoxicity and preserves the physiological function of the receptor.</w:t>
      </w:r>
      <w:hyperlink r:id="rId8" w:anchor="B10" w:history="1">
        <w:r w:rsidRPr="002A0833">
          <w:rPr>
            <w:rFonts w:ascii="Times New Roman" w:eastAsia="Times New Roman" w:hAnsi="Times New Roman" w:cs="Times New Roman"/>
            <w:color w:val="0000FF"/>
            <w:sz w:val="24"/>
            <w:szCs w:val="24"/>
            <w:u w:val="single"/>
            <w:vertAlign w:val="superscript"/>
          </w:rPr>
          <w:t>10</w:t>
        </w:r>
      </w:hyperlink>
    </w:p>
    <w:p w:rsidR="002A0833" w:rsidRPr="002A0833" w:rsidRDefault="002A0833" w:rsidP="002A0833">
      <w:pPr>
        <w:spacing w:after="0" w:line="240" w:lineRule="auto"/>
        <w:rPr>
          <w:rFonts w:ascii="Times New Roman" w:eastAsia="Times New Roman" w:hAnsi="Times New Roman" w:cs="Times New Roman"/>
          <w:sz w:val="24"/>
          <w:szCs w:val="24"/>
        </w:rPr>
      </w:pPr>
      <w:r w:rsidRPr="002A0833">
        <w:rPr>
          <w:rFonts w:ascii="Times New Roman" w:eastAsia="Times New Roman" w:hAnsi="Times New Roman" w:cs="Times New Roman"/>
          <w:sz w:val="24"/>
          <w:szCs w:val="24"/>
        </w:rPr>
        <w:t>Some researchers believe memantine may have neuroprotective properties that could be disease-modifying, but there is still no clinical evidence that memantine can protect against NMDA receptor-mediated excitotoxicity</w:t>
      </w:r>
    </w:p>
    <w:p w:rsidR="002A0833" w:rsidRPr="002A0833" w:rsidRDefault="002A0833" w:rsidP="002A0833">
      <w:pPr>
        <w:spacing w:after="0" w:line="240" w:lineRule="auto"/>
        <w:rPr>
          <w:rFonts w:ascii="Times New Roman" w:eastAsia="Times New Roman" w:hAnsi="Times New Roman" w:cs="Times New Roman"/>
          <w:sz w:val="24"/>
          <w:szCs w:val="24"/>
        </w:rPr>
      </w:pPr>
      <w:r w:rsidRPr="002A0833">
        <w:rPr>
          <w:rFonts w:ascii="Times New Roman" w:eastAsia="Times New Roman" w:hAnsi="Times New Roman" w:cs="Times New Roman"/>
          <w:sz w:val="24"/>
          <w:szCs w:val="24"/>
        </w:rPr>
        <w:t xml:space="preserve">However, some recent animal studies have reported that NMDA receptor antagonists can block the uptake and internalization of β-amyloid peptide into cultured hippocampal cells and can protect against neurotoxicity associated with intracerebroventricular administration of β-amyloid </w:t>
      </w:r>
      <w:r w:rsidRPr="002A0833">
        <w:rPr>
          <w:rFonts w:ascii="Times New Roman" w:eastAsia="Times New Roman" w:hAnsi="Times New Roman" w:cs="Times New Roman"/>
          <w:i/>
          <w:iCs/>
          <w:sz w:val="24"/>
          <w:szCs w:val="24"/>
        </w:rPr>
        <w:t>in vivo</w:t>
      </w:r>
      <w:r w:rsidRPr="002A0833">
        <w:rPr>
          <w:rFonts w:ascii="Times New Roman" w:eastAsia="Times New Roman" w:hAnsi="Times New Roman" w:cs="Times New Roman"/>
          <w:sz w:val="24"/>
          <w:szCs w:val="24"/>
        </w:rPr>
        <w:t>.</w:t>
      </w:r>
      <w:hyperlink r:id="rId9" w:anchor="B10" w:history="1">
        <w:r w:rsidRPr="002A0833">
          <w:rPr>
            <w:rFonts w:ascii="Times New Roman" w:eastAsia="Times New Roman" w:hAnsi="Times New Roman" w:cs="Times New Roman"/>
            <w:color w:val="0000FF"/>
            <w:sz w:val="24"/>
            <w:szCs w:val="24"/>
            <w:u w:val="single"/>
            <w:vertAlign w:val="superscript"/>
          </w:rPr>
          <w:t>10</w:t>
        </w:r>
      </w:hyperlink>
    </w:p>
    <w:p w:rsidR="002A0833" w:rsidRPr="002A0833" w:rsidRDefault="002A0833" w:rsidP="002A0833">
      <w:pPr>
        <w:spacing w:after="0" w:line="240" w:lineRule="auto"/>
        <w:rPr>
          <w:rFonts w:ascii="Times New Roman" w:eastAsia="Times New Roman" w:hAnsi="Times New Roman" w:cs="Times New Roman"/>
          <w:sz w:val="24"/>
          <w:szCs w:val="24"/>
        </w:rPr>
      </w:pPr>
      <w:r w:rsidRPr="002A0833">
        <w:rPr>
          <w:rFonts w:ascii="Times New Roman" w:eastAsia="Times New Roman" w:hAnsi="Times New Roman" w:cs="Times New Roman"/>
          <w:sz w:val="24"/>
          <w:szCs w:val="24"/>
        </w:rPr>
        <w:t>Additional studies exploring the potential neuroprotective, disease-modifying features of NMDA receptor antagonists are underway. Meanwhile, memantine is often used in combination with other drugs to slow the progression of AD.</w:t>
      </w:r>
    </w:p>
    <w:p w:rsidR="002A0833" w:rsidRDefault="002A0833" w:rsidP="002A0833">
      <w:pPr>
        <w:autoSpaceDE w:val="0"/>
        <w:autoSpaceDN w:val="0"/>
        <w:adjustRightInd w:val="0"/>
        <w:spacing w:after="0" w:line="240" w:lineRule="auto"/>
        <w:rPr>
          <w:rFonts w:ascii="HelveticaNeueLTStd-BlkCn" w:hAnsi="HelveticaNeueLTStd-BlkCn" w:cs="HelveticaNeueLTStd-BlkCn"/>
          <w:b/>
          <w:bCs/>
          <w:sz w:val="24"/>
          <w:szCs w:val="24"/>
        </w:rPr>
      </w:pPr>
    </w:p>
    <w:p w:rsidR="002A0833" w:rsidRDefault="002A0833" w:rsidP="002A0833">
      <w:pPr>
        <w:autoSpaceDE w:val="0"/>
        <w:autoSpaceDN w:val="0"/>
        <w:adjustRightInd w:val="0"/>
        <w:spacing w:after="0" w:line="240" w:lineRule="auto"/>
        <w:rPr>
          <w:rFonts w:ascii="HelveticaNeueLTStd-BlkCn" w:hAnsi="HelveticaNeueLTStd-BlkCn" w:cs="HelveticaNeueLTStd-BlkCn"/>
          <w:b/>
          <w:bCs/>
          <w:sz w:val="24"/>
          <w:szCs w:val="24"/>
        </w:rPr>
      </w:pPr>
    </w:p>
    <w:p w:rsidR="00C90EE4" w:rsidRDefault="00C90EE4" w:rsidP="00C90EE4">
      <w:pPr>
        <w:spacing w:before="100" w:beforeAutospacing="1" w:after="100" w:afterAutospacing="1" w:line="240" w:lineRule="auto"/>
        <w:outlineLvl w:val="1"/>
        <w:rPr>
          <w:rFonts w:ascii="Times New Roman" w:eastAsia="Times New Roman" w:hAnsi="Times New Roman"/>
          <w:b/>
          <w:bCs/>
          <w:sz w:val="36"/>
          <w:szCs w:val="36"/>
        </w:rPr>
      </w:pPr>
    </w:p>
    <w:p w:rsidR="00C90EE4" w:rsidRDefault="00C90EE4" w:rsidP="00C90EE4">
      <w:pPr>
        <w:spacing w:before="100" w:beforeAutospacing="1" w:after="100" w:afterAutospacing="1" w:line="240" w:lineRule="auto"/>
        <w:outlineLvl w:val="1"/>
        <w:rPr>
          <w:rFonts w:ascii="Times New Roman" w:eastAsia="Times New Roman" w:hAnsi="Times New Roman"/>
          <w:b/>
          <w:bCs/>
          <w:sz w:val="36"/>
          <w:szCs w:val="36"/>
        </w:rPr>
      </w:pPr>
    </w:p>
    <w:p w:rsidR="00C90EE4" w:rsidRDefault="00C90EE4" w:rsidP="00C90EE4">
      <w:pPr>
        <w:spacing w:before="100" w:beforeAutospacing="1" w:after="100" w:afterAutospacing="1" w:line="240" w:lineRule="auto"/>
        <w:outlineLvl w:val="1"/>
        <w:rPr>
          <w:rFonts w:ascii="Times New Roman" w:eastAsia="Times New Roman" w:hAnsi="Times New Roman"/>
          <w:b/>
          <w:bCs/>
          <w:sz w:val="36"/>
          <w:szCs w:val="36"/>
        </w:rPr>
      </w:pPr>
    </w:p>
    <w:p w:rsidR="00C90EE4" w:rsidRDefault="00C90EE4" w:rsidP="00C90EE4">
      <w:pPr>
        <w:spacing w:before="100" w:beforeAutospacing="1" w:after="100" w:afterAutospacing="1" w:line="240" w:lineRule="auto"/>
        <w:outlineLvl w:val="1"/>
        <w:rPr>
          <w:rFonts w:ascii="Times New Roman" w:eastAsia="Times New Roman" w:hAnsi="Times New Roman"/>
          <w:b/>
          <w:bCs/>
          <w:sz w:val="36"/>
          <w:szCs w:val="36"/>
        </w:rPr>
      </w:pPr>
    </w:p>
    <w:p w:rsidR="00C90EE4" w:rsidRDefault="00C90EE4" w:rsidP="00C90EE4">
      <w:pPr>
        <w:spacing w:before="100" w:beforeAutospacing="1" w:after="100" w:afterAutospacing="1" w:line="240" w:lineRule="auto"/>
        <w:outlineLvl w:val="1"/>
        <w:rPr>
          <w:rFonts w:ascii="Times New Roman" w:eastAsia="Times New Roman" w:hAnsi="Times New Roman"/>
          <w:b/>
          <w:bCs/>
          <w:sz w:val="36"/>
          <w:szCs w:val="36"/>
        </w:rPr>
      </w:pPr>
    </w:p>
    <w:p w:rsidR="00C90EE4" w:rsidRDefault="00C90EE4" w:rsidP="00C90EE4">
      <w:pPr>
        <w:spacing w:before="100" w:beforeAutospacing="1" w:after="100" w:afterAutospacing="1" w:line="240" w:lineRule="auto"/>
        <w:outlineLvl w:val="1"/>
        <w:rPr>
          <w:rFonts w:ascii="Times New Roman" w:eastAsia="Times New Roman" w:hAnsi="Times New Roman"/>
          <w:b/>
          <w:bCs/>
          <w:sz w:val="36"/>
          <w:szCs w:val="36"/>
        </w:rPr>
      </w:pPr>
    </w:p>
    <w:p w:rsidR="00C90EE4" w:rsidRDefault="00C90EE4" w:rsidP="00C90EE4">
      <w:pPr>
        <w:spacing w:before="100" w:beforeAutospacing="1" w:after="100" w:afterAutospacing="1" w:line="240" w:lineRule="auto"/>
        <w:outlineLvl w:val="1"/>
        <w:rPr>
          <w:rFonts w:ascii="Times New Roman" w:eastAsia="Times New Roman" w:hAnsi="Times New Roman"/>
          <w:b/>
          <w:bCs/>
          <w:sz w:val="36"/>
          <w:szCs w:val="36"/>
        </w:rPr>
      </w:pPr>
    </w:p>
    <w:p w:rsidR="00C90EE4" w:rsidRDefault="00C90EE4" w:rsidP="00C90EE4">
      <w:pPr>
        <w:spacing w:before="100" w:beforeAutospacing="1" w:after="100" w:afterAutospacing="1" w:line="240" w:lineRule="auto"/>
        <w:outlineLvl w:val="1"/>
        <w:rPr>
          <w:rFonts w:ascii="Times New Roman" w:eastAsia="Times New Roman" w:hAnsi="Times New Roman"/>
          <w:b/>
          <w:bCs/>
          <w:sz w:val="36"/>
          <w:szCs w:val="36"/>
        </w:rPr>
      </w:pPr>
    </w:p>
    <w:p w:rsidR="002A0833" w:rsidRDefault="002A0833" w:rsidP="00C90EE4">
      <w:pPr>
        <w:spacing w:before="100" w:beforeAutospacing="1" w:after="100" w:afterAutospacing="1" w:line="240" w:lineRule="auto"/>
        <w:outlineLvl w:val="1"/>
        <w:rPr>
          <w:rFonts w:ascii="Times New Roman" w:eastAsia="Times New Roman" w:hAnsi="Times New Roman"/>
          <w:b/>
          <w:bCs/>
          <w:sz w:val="36"/>
          <w:szCs w:val="36"/>
        </w:rPr>
      </w:pPr>
    </w:p>
    <w:p w:rsidR="002A0833" w:rsidRDefault="002A0833" w:rsidP="00C90EE4">
      <w:pPr>
        <w:spacing w:before="100" w:beforeAutospacing="1" w:after="100" w:afterAutospacing="1" w:line="240" w:lineRule="auto"/>
        <w:outlineLvl w:val="1"/>
        <w:rPr>
          <w:rFonts w:ascii="Times New Roman" w:eastAsia="Times New Roman" w:hAnsi="Times New Roman"/>
          <w:b/>
          <w:bCs/>
          <w:sz w:val="36"/>
          <w:szCs w:val="36"/>
        </w:rPr>
      </w:pPr>
    </w:p>
    <w:p w:rsidR="002A0833" w:rsidRDefault="002A0833" w:rsidP="00C90EE4">
      <w:pPr>
        <w:spacing w:before="100" w:beforeAutospacing="1" w:after="100" w:afterAutospacing="1" w:line="240" w:lineRule="auto"/>
        <w:outlineLvl w:val="1"/>
        <w:rPr>
          <w:rFonts w:ascii="Times New Roman" w:eastAsia="Times New Roman" w:hAnsi="Times New Roman"/>
          <w:b/>
          <w:bCs/>
          <w:sz w:val="36"/>
          <w:szCs w:val="36"/>
        </w:rPr>
      </w:pPr>
    </w:p>
    <w:p w:rsidR="002A0833" w:rsidRDefault="002A0833" w:rsidP="00C90EE4">
      <w:pPr>
        <w:spacing w:before="100" w:beforeAutospacing="1" w:after="100" w:afterAutospacing="1" w:line="240" w:lineRule="auto"/>
        <w:outlineLvl w:val="1"/>
        <w:rPr>
          <w:rFonts w:ascii="Times New Roman" w:eastAsia="Times New Roman" w:hAnsi="Times New Roman"/>
          <w:b/>
          <w:bCs/>
          <w:sz w:val="36"/>
          <w:szCs w:val="36"/>
        </w:rPr>
      </w:pPr>
    </w:p>
    <w:p w:rsidR="002A0833" w:rsidRDefault="002A0833" w:rsidP="00C90EE4">
      <w:pPr>
        <w:spacing w:before="100" w:beforeAutospacing="1" w:after="100" w:afterAutospacing="1" w:line="240" w:lineRule="auto"/>
        <w:outlineLvl w:val="1"/>
        <w:rPr>
          <w:rFonts w:ascii="Times New Roman" w:eastAsia="Times New Roman" w:hAnsi="Times New Roman"/>
          <w:b/>
          <w:bCs/>
          <w:sz w:val="36"/>
          <w:szCs w:val="36"/>
        </w:rPr>
      </w:pPr>
    </w:p>
    <w:p w:rsidR="00C90EE4" w:rsidRDefault="00C90EE4" w:rsidP="00C90EE4">
      <w:pPr>
        <w:spacing w:before="100" w:beforeAutospacing="1" w:after="100" w:afterAutospacing="1" w:line="240" w:lineRule="auto"/>
        <w:outlineLvl w:val="1"/>
        <w:rPr>
          <w:rFonts w:ascii="Times New Roman" w:eastAsia="Times New Roman" w:hAnsi="Times New Roman"/>
          <w:b/>
          <w:bCs/>
          <w:sz w:val="36"/>
          <w:szCs w:val="36"/>
        </w:rPr>
      </w:pPr>
    </w:p>
    <w:p w:rsidR="00C90EE4" w:rsidRDefault="00C90EE4" w:rsidP="00C90EE4">
      <w:pPr>
        <w:spacing w:before="100" w:beforeAutospacing="1" w:after="100" w:afterAutospacing="1" w:line="240" w:lineRule="auto"/>
        <w:outlineLvl w:val="1"/>
        <w:rPr>
          <w:rFonts w:ascii="Times New Roman" w:eastAsia="Times New Roman" w:hAnsi="Times New Roman"/>
          <w:b/>
          <w:bCs/>
          <w:sz w:val="36"/>
          <w:szCs w:val="36"/>
        </w:rPr>
      </w:pPr>
    </w:p>
    <w:p w:rsidR="00C90EE4" w:rsidRDefault="00C90EE4" w:rsidP="00C90EE4">
      <w:pPr>
        <w:spacing w:before="100" w:beforeAutospacing="1" w:after="100" w:afterAutospacing="1" w:line="240" w:lineRule="auto"/>
        <w:outlineLvl w:val="1"/>
        <w:rPr>
          <w:rFonts w:ascii="Times New Roman" w:eastAsia="Times New Roman" w:hAnsi="Times New Roman"/>
          <w:b/>
          <w:bCs/>
          <w:sz w:val="36"/>
          <w:szCs w:val="36"/>
        </w:rPr>
      </w:pPr>
      <w:r w:rsidRPr="00180260">
        <w:rPr>
          <w:rFonts w:ascii="Times New Roman" w:eastAsia="Times New Roman" w:hAnsi="Times New Roman"/>
          <w:b/>
          <w:bCs/>
          <w:sz w:val="36"/>
          <w:szCs w:val="36"/>
        </w:rPr>
        <w:t>Clinical biochemistry</w:t>
      </w:r>
    </w:p>
    <w:p w:rsidR="00C90EE4" w:rsidRPr="00180260" w:rsidRDefault="00C90EE4" w:rsidP="00C90EE4">
      <w:pPr>
        <w:spacing w:before="100" w:beforeAutospacing="1" w:after="100" w:afterAutospacing="1" w:line="240" w:lineRule="auto"/>
        <w:outlineLvl w:val="1"/>
        <w:rPr>
          <w:rFonts w:ascii="Times New Roman" w:eastAsia="Times New Roman" w:hAnsi="Times New Roman"/>
          <w:b/>
          <w:bCs/>
          <w:sz w:val="36"/>
          <w:szCs w:val="36"/>
        </w:rPr>
      </w:pPr>
      <w:r>
        <w:rPr>
          <w:rFonts w:ascii="Times New Roman" w:eastAsia="Times New Roman" w:hAnsi="Times New Roman"/>
          <w:b/>
          <w:bCs/>
          <w:sz w:val="36"/>
          <w:szCs w:val="36"/>
        </w:rPr>
        <w:t>This Fake Patient’s Values are in the Far Right Column</w:t>
      </w:r>
    </w:p>
    <w:p w:rsidR="00C90EE4" w:rsidRPr="00180260" w:rsidRDefault="00C90EE4" w:rsidP="00C90EE4">
      <w:pPr>
        <w:spacing w:before="100" w:beforeAutospacing="1" w:after="100" w:afterAutospacing="1" w:line="240" w:lineRule="auto"/>
        <w:outlineLvl w:val="2"/>
        <w:rPr>
          <w:rFonts w:ascii="Times New Roman" w:eastAsia="Times New Roman" w:hAnsi="Times New Roman"/>
          <w:b/>
          <w:bCs/>
          <w:sz w:val="27"/>
          <w:szCs w:val="27"/>
        </w:rPr>
      </w:pPr>
      <w:bookmarkStart w:id="0" w:name="Electrolytes_and_Metabolytess"/>
      <w:r w:rsidRPr="00180260">
        <w:rPr>
          <w:rFonts w:ascii="Times New Roman" w:eastAsia="Times New Roman" w:hAnsi="Times New Roman"/>
          <w:b/>
          <w:bCs/>
          <w:sz w:val="27"/>
          <w:szCs w:val="27"/>
        </w:rPr>
        <w:t>Electrolytes and Metabolytess</w:t>
      </w:r>
      <w:bookmarkEnd w:id="0"/>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65"/>
        <w:gridCol w:w="1844"/>
        <w:gridCol w:w="1212"/>
      </w:tblGrid>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jc w:val="center"/>
              <w:rPr>
                <w:rFonts w:ascii="Times New Roman" w:eastAsia="Times New Roman" w:hAnsi="Times New Roman"/>
                <w:b/>
                <w:bCs/>
                <w:sz w:val="24"/>
                <w:szCs w:val="24"/>
              </w:rPr>
            </w:pPr>
            <w:r w:rsidRPr="00180260">
              <w:rPr>
                <w:rFonts w:ascii="Times New Roman" w:eastAsia="Times New Roman" w:hAnsi="Times New Roman"/>
                <w:b/>
                <w:bCs/>
                <w:sz w:val="24"/>
                <w:szCs w:val="24"/>
              </w:rPr>
              <w:t>Test</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jc w:val="center"/>
              <w:rPr>
                <w:rFonts w:ascii="Times New Roman" w:eastAsia="Times New Roman" w:hAnsi="Times New Roman"/>
                <w:b/>
                <w:bCs/>
                <w:sz w:val="24"/>
                <w:szCs w:val="24"/>
              </w:rPr>
            </w:pPr>
            <w:r w:rsidRPr="00180260">
              <w:rPr>
                <w:rFonts w:ascii="Times New Roman" w:eastAsia="Times New Roman" w:hAnsi="Times New Roman"/>
                <w:b/>
                <w:bCs/>
                <w:sz w:val="24"/>
                <w:szCs w:val="24"/>
              </w:rPr>
              <w:t>Range</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jc w:val="center"/>
              <w:rPr>
                <w:rFonts w:ascii="Times New Roman" w:eastAsia="Times New Roman" w:hAnsi="Times New Roman"/>
                <w:b/>
                <w:bCs/>
                <w:sz w:val="24"/>
                <w:szCs w:val="24"/>
              </w:rPr>
            </w:pPr>
            <w:r w:rsidRPr="00180260">
              <w:rPr>
                <w:rFonts w:ascii="Times New Roman" w:eastAsia="Times New Roman" w:hAnsi="Times New Roman"/>
                <w:b/>
                <w:bCs/>
                <w:sz w:val="24"/>
                <w:szCs w:val="24"/>
              </w:rPr>
              <w:t>Comments</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10" w:tooltip="Sodium" w:history="1">
              <w:r w:rsidR="00C90EE4" w:rsidRPr="00180260">
                <w:rPr>
                  <w:rFonts w:ascii="Times New Roman" w:eastAsia="Times New Roman" w:hAnsi="Times New Roman"/>
                  <w:color w:val="0000FF"/>
                  <w:sz w:val="24"/>
                  <w:szCs w:val="24"/>
                  <w:u w:val="single"/>
                </w:rPr>
                <w:t>Sodium</w:t>
              </w:r>
            </w:hyperlink>
            <w:r w:rsidR="00C90EE4" w:rsidRPr="00180260">
              <w:rPr>
                <w:rFonts w:ascii="Times New Roman" w:eastAsia="Times New Roman" w:hAnsi="Times New Roman"/>
                <w:sz w:val="24"/>
                <w:szCs w:val="24"/>
              </w:rPr>
              <w:t xml:space="preserve"> (Na)</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130 - 145 mmol/L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2A0833">
              <w:rPr>
                <w:rFonts w:ascii="Times New Roman" w:eastAsia="Times New Roman" w:hAnsi="Times New Roman"/>
                <w:sz w:val="24"/>
                <w:szCs w:val="24"/>
              </w:rPr>
              <w:t>132</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11" w:tooltip="Potassium" w:history="1">
              <w:r w:rsidR="00C90EE4" w:rsidRPr="00180260">
                <w:rPr>
                  <w:rFonts w:ascii="Times New Roman" w:eastAsia="Times New Roman" w:hAnsi="Times New Roman"/>
                  <w:color w:val="0000FF"/>
                  <w:sz w:val="24"/>
                  <w:szCs w:val="24"/>
                  <w:u w:val="single"/>
                </w:rPr>
                <w:t>Potassium</w:t>
              </w:r>
            </w:hyperlink>
            <w:r w:rsidR="00C90EE4" w:rsidRPr="00180260">
              <w:rPr>
                <w:rFonts w:ascii="Times New Roman" w:eastAsia="Times New Roman" w:hAnsi="Times New Roman"/>
                <w:sz w:val="24"/>
                <w:szCs w:val="24"/>
              </w:rPr>
              <w:t xml:space="preserve"> (K)</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3.5 - 5.0 mmol/L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2A0833"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3.2</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12" w:tooltip="Urea" w:history="1">
              <w:r w:rsidR="00C90EE4" w:rsidRPr="00180260">
                <w:rPr>
                  <w:rFonts w:ascii="Times New Roman" w:eastAsia="Times New Roman" w:hAnsi="Times New Roman"/>
                  <w:color w:val="0000FF"/>
                  <w:sz w:val="24"/>
                  <w:szCs w:val="24"/>
                  <w:u w:val="single"/>
                </w:rPr>
                <w:t>Urea</w:t>
              </w:r>
            </w:hyperlink>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2.6 - 6.8 mmol/L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2A0833"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13" w:tooltip="Creatinine" w:history="1">
              <w:r w:rsidR="00C90EE4" w:rsidRPr="00180260">
                <w:rPr>
                  <w:rFonts w:ascii="Times New Roman" w:eastAsia="Times New Roman" w:hAnsi="Times New Roman"/>
                  <w:color w:val="0000FF"/>
                  <w:sz w:val="24"/>
                  <w:szCs w:val="24"/>
                  <w:u w:val="single"/>
                </w:rPr>
                <w:t>Creatinine</w:t>
              </w:r>
            </w:hyperlink>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50 - 110 μmol/L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2A0833"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90</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14" w:tooltip="Glucose" w:history="1">
              <w:r w:rsidR="00C90EE4" w:rsidRPr="00180260">
                <w:rPr>
                  <w:rFonts w:ascii="Times New Roman" w:eastAsia="Times New Roman" w:hAnsi="Times New Roman"/>
                  <w:color w:val="0000FF"/>
                  <w:sz w:val="24"/>
                  <w:szCs w:val="24"/>
                  <w:u w:val="single"/>
                </w:rPr>
                <w:t>Glucose</w:t>
              </w:r>
            </w:hyperlink>
            <w:r w:rsidR="00C90EE4" w:rsidRPr="00180260">
              <w:rPr>
                <w:rFonts w:ascii="Times New Roman" w:eastAsia="Times New Roman" w:hAnsi="Times New Roman"/>
                <w:sz w:val="24"/>
                <w:szCs w:val="24"/>
              </w:rPr>
              <w:t xml:space="preserve"> (fasting)</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4.2 - 6.1 mmol/L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2A0833"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tc>
      </w:tr>
    </w:tbl>
    <w:p w:rsidR="00C90EE4" w:rsidRPr="00180260" w:rsidRDefault="00C90EE4" w:rsidP="00C90EE4">
      <w:pPr>
        <w:spacing w:before="100" w:beforeAutospacing="1" w:after="100" w:afterAutospacing="1" w:line="240" w:lineRule="auto"/>
        <w:outlineLvl w:val="2"/>
        <w:rPr>
          <w:rFonts w:ascii="Times New Roman" w:eastAsia="Times New Roman" w:hAnsi="Times New Roman"/>
          <w:b/>
          <w:bCs/>
          <w:sz w:val="27"/>
          <w:szCs w:val="27"/>
        </w:rPr>
      </w:pPr>
      <w:bookmarkStart w:id="1" w:name="Liver_function_tests"/>
      <w:r w:rsidRPr="00180260">
        <w:rPr>
          <w:rFonts w:ascii="Times New Roman" w:eastAsia="Times New Roman" w:hAnsi="Times New Roman"/>
          <w:b/>
          <w:bCs/>
          <w:sz w:val="27"/>
          <w:szCs w:val="27"/>
        </w:rPr>
        <w:t>Liver function tests</w:t>
      </w:r>
      <w:bookmarkEnd w:id="1"/>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878"/>
        <w:gridCol w:w="1426"/>
        <w:gridCol w:w="465"/>
      </w:tblGrid>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Total Protein</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60 - 80 g/L</w:t>
            </w:r>
          </w:p>
        </w:tc>
        <w:tc>
          <w:tcPr>
            <w:tcW w:w="80" w:type="dxa"/>
            <w:tcBorders>
              <w:top w:val="outset" w:sz="6" w:space="0" w:color="auto"/>
              <w:left w:val="outset" w:sz="6" w:space="0" w:color="auto"/>
              <w:bottom w:val="outset" w:sz="6" w:space="0" w:color="auto"/>
              <w:right w:val="outset" w:sz="6" w:space="0" w:color="auto"/>
            </w:tcBorders>
            <w:vAlign w:val="center"/>
          </w:tcPr>
          <w:p w:rsidR="00C90EE4" w:rsidRPr="00180260" w:rsidRDefault="002A0833"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72</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15" w:tooltip="Albumin" w:history="1">
              <w:r w:rsidR="00C90EE4" w:rsidRPr="00180260">
                <w:rPr>
                  <w:rFonts w:ascii="Times New Roman" w:eastAsia="Times New Roman" w:hAnsi="Times New Roman"/>
                  <w:color w:val="0000FF"/>
                  <w:sz w:val="24"/>
                  <w:szCs w:val="24"/>
                  <w:u w:val="single"/>
                </w:rPr>
                <w:t>Albumin</w:t>
              </w:r>
            </w:hyperlink>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30 - 50 g/L</w:t>
            </w:r>
          </w:p>
        </w:tc>
        <w:tc>
          <w:tcPr>
            <w:tcW w:w="80" w:type="dxa"/>
            <w:tcBorders>
              <w:top w:val="outset" w:sz="6" w:space="0" w:color="auto"/>
              <w:left w:val="outset" w:sz="6" w:space="0" w:color="auto"/>
              <w:bottom w:val="outset" w:sz="6" w:space="0" w:color="auto"/>
              <w:right w:val="outset" w:sz="6" w:space="0" w:color="auto"/>
            </w:tcBorders>
            <w:vAlign w:val="center"/>
          </w:tcPr>
          <w:p w:rsidR="00C90EE4" w:rsidRPr="00180260" w:rsidRDefault="002A0833"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41</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 xml:space="preserve">Total </w:t>
            </w:r>
            <w:hyperlink r:id="rId16" w:tooltip="Bilirubin" w:history="1">
              <w:r w:rsidRPr="00180260">
                <w:rPr>
                  <w:rFonts w:ascii="Times New Roman" w:eastAsia="Times New Roman" w:hAnsi="Times New Roman"/>
                  <w:color w:val="0000FF"/>
                  <w:sz w:val="24"/>
                  <w:szCs w:val="24"/>
                  <w:u w:val="single"/>
                </w:rPr>
                <w:t>Bilirubin</w:t>
              </w:r>
            </w:hyperlink>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2 - 14 μmol/L</w:t>
            </w:r>
          </w:p>
        </w:tc>
        <w:tc>
          <w:tcPr>
            <w:tcW w:w="80" w:type="dxa"/>
            <w:tcBorders>
              <w:top w:val="outset" w:sz="6" w:space="0" w:color="auto"/>
              <w:left w:val="outset" w:sz="6" w:space="0" w:color="auto"/>
              <w:bottom w:val="outset" w:sz="6" w:space="0" w:color="auto"/>
              <w:right w:val="outset" w:sz="6" w:space="0" w:color="auto"/>
            </w:tcBorders>
            <w:vAlign w:val="center"/>
          </w:tcPr>
          <w:p w:rsidR="00C90EE4" w:rsidRPr="00180260" w:rsidRDefault="002A0833"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13</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Direct Bilirubin</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0 - 4 μmol/L</w:t>
            </w:r>
          </w:p>
        </w:tc>
        <w:tc>
          <w:tcPr>
            <w:tcW w:w="80" w:type="dxa"/>
            <w:tcBorders>
              <w:top w:val="outset" w:sz="6" w:space="0" w:color="auto"/>
              <w:left w:val="outset" w:sz="6" w:space="0" w:color="auto"/>
              <w:bottom w:val="outset" w:sz="6" w:space="0" w:color="auto"/>
              <w:right w:val="outset" w:sz="6" w:space="0" w:color="auto"/>
            </w:tcBorders>
            <w:vAlign w:val="center"/>
          </w:tcPr>
          <w:p w:rsidR="00C90EE4" w:rsidRPr="00180260" w:rsidRDefault="002A0833"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17" w:tooltip="Alanine_transaminase" w:history="1">
              <w:r w:rsidR="00C90EE4" w:rsidRPr="00180260">
                <w:rPr>
                  <w:rFonts w:ascii="Times New Roman" w:eastAsia="Times New Roman" w:hAnsi="Times New Roman"/>
                  <w:color w:val="0000FF"/>
                  <w:sz w:val="24"/>
                  <w:szCs w:val="24"/>
                  <w:u w:val="single"/>
                </w:rPr>
                <w:t>Alanine transaminase</w:t>
              </w:r>
            </w:hyperlink>
            <w:r w:rsidR="00C90EE4" w:rsidRPr="00180260">
              <w:rPr>
                <w:rFonts w:ascii="Times New Roman" w:eastAsia="Times New Roman" w:hAnsi="Times New Roman"/>
                <w:sz w:val="24"/>
                <w:szCs w:val="24"/>
              </w:rPr>
              <w:t xml:space="preserve"> (ALT)</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8 - 40 U/L</w:t>
            </w:r>
          </w:p>
        </w:tc>
        <w:tc>
          <w:tcPr>
            <w:tcW w:w="80" w:type="dxa"/>
            <w:tcBorders>
              <w:top w:val="outset" w:sz="6" w:space="0" w:color="auto"/>
              <w:left w:val="outset" w:sz="6" w:space="0" w:color="auto"/>
              <w:bottom w:val="outset" w:sz="6" w:space="0" w:color="auto"/>
              <w:right w:val="outset" w:sz="6" w:space="0" w:color="auto"/>
            </w:tcBorders>
            <w:vAlign w:val="center"/>
          </w:tcPr>
          <w:p w:rsidR="00C90EE4" w:rsidRPr="00180260" w:rsidRDefault="002A0833"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50</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Alkaline phosphatase (ALP)</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40 - 130 U/L</w:t>
            </w:r>
          </w:p>
        </w:tc>
        <w:tc>
          <w:tcPr>
            <w:tcW w:w="80" w:type="dxa"/>
            <w:tcBorders>
              <w:top w:val="outset" w:sz="6" w:space="0" w:color="auto"/>
              <w:left w:val="outset" w:sz="6" w:space="0" w:color="auto"/>
              <w:bottom w:val="outset" w:sz="6" w:space="0" w:color="auto"/>
              <w:right w:val="outset" w:sz="6" w:space="0" w:color="auto"/>
            </w:tcBorders>
            <w:vAlign w:val="center"/>
          </w:tcPr>
          <w:p w:rsidR="00C90EE4" w:rsidRPr="00180260" w:rsidRDefault="002A0833"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120</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Gamma glutamyl transferase</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&lt; 50 U/L</w:t>
            </w:r>
          </w:p>
        </w:tc>
        <w:tc>
          <w:tcPr>
            <w:tcW w:w="80" w:type="dxa"/>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r w:rsidR="002A0833">
              <w:rPr>
                <w:rFonts w:ascii="Times New Roman" w:eastAsia="Times New Roman" w:hAnsi="Times New Roman"/>
                <w:sz w:val="24"/>
                <w:szCs w:val="24"/>
              </w:rPr>
              <w:t>1</w:t>
            </w:r>
          </w:p>
        </w:tc>
      </w:tr>
    </w:tbl>
    <w:p w:rsidR="00C90EE4" w:rsidRPr="00180260" w:rsidRDefault="00C90EE4" w:rsidP="00C90EE4">
      <w:pPr>
        <w:spacing w:before="100" w:beforeAutospacing="1" w:after="100" w:afterAutospacing="1" w:line="240" w:lineRule="auto"/>
        <w:outlineLvl w:val="2"/>
        <w:rPr>
          <w:rFonts w:ascii="Times New Roman" w:eastAsia="Times New Roman" w:hAnsi="Times New Roman"/>
          <w:b/>
          <w:bCs/>
          <w:sz w:val="27"/>
          <w:szCs w:val="27"/>
        </w:rPr>
      </w:pPr>
      <w:bookmarkStart w:id="2" w:name="Other_enzymes_and_proteins"/>
      <w:r w:rsidRPr="00180260">
        <w:rPr>
          <w:rFonts w:ascii="Times New Roman" w:eastAsia="Times New Roman" w:hAnsi="Times New Roman"/>
          <w:b/>
          <w:bCs/>
          <w:sz w:val="27"/>
          <w:szCs w:val="27"/>
        </w:rPr>
        <w:t>Other enzymes and proteins</w:t>
      </w:r>
      <w:bookmarkEnd w:id="2"/>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4"/>
        <w:gridCol w:w="1337"/>
        <w:gridCol w:w="465"/>
      </w:tblGrid>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18" w:tooltip="Creatine_kinase" w:history="1">
              <w:r w:rsidR="00C90EE4" w:rsidRPr="00180260">
                <w:rPr>
                  <w:rFonts w:ascii="Times New Roman" w:eastAsia="Times New Roman" w:hAnsi="Times New Roman"/>
                  <w:color w:val="0000FF"/>
                  <w:sz w:val="24"/>
                  <w:szCs w:val="24"/>
                  <w:u w:val="single"/>
                </w:rPr>
                <w:t>Creatine kinase</w:t>
              </w:r>
            </w:hyperlink>
            <w:r w:rsidR="00C90EE4" w:rsidRPr="00180260">
              <w:rPr>
                <w:rFonts w:ascii="Times New Roman" w:eastAsia="Times New Roman" w:hAnsi="Times New Roman"/>
                <w:sz w:val="24"/>
                <w:szCs w:val="24"/>
              </w:rPr>
              <w:t xml:space="preserve"> (CK)</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22 - 198 U/L</w:t>
            </w:r>
          </w:p>
        </w:tc>
        <w:tc>
          <w:tcPr>
            <w:tcW w:w="154" w:type="dxa"/>
            <w:tcBorders>
              <w:top w:val="outset" w:sz="6" w:space="0" w:color="auto"/>
              <w:left w:val="outset" w:sz="6" w:space="0" w:color="auto"/>
              <w:bottom w:val="outset" w:sz="6" w:space="0" w:color="auto"/>
              <w:right w:val="outset" w:sz="6" w:space="0" w:color="auto"/>
            </w:tcBorders>
          </w:tcPr>
          <w:p w:rsidR="00C90EE4" w:rsidRPr="00180260" w:rsidRDefault="002A0833"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81</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Aspartate transaminase (AST)</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8 - 35 U/L</w:t>
            </w:r>
          </w:p>
        </w:tc>
        <w:tc>
          <w:tcPr>
            <w:tcW w:w="154" w:type="dxa"/>
            <w:tcBorders>
              <w:top w:val="outset" w:sz="6" w:space="0" w:color="auto"/>
              <w:left w:val="outset" w:sz="6" w:space="0" w:color="auto"/>
              <w:bottom w:val="outset" w:sz="6" w:space="0" w:color="auto"/>
              <w:right w:val="outset" w:sz="6" w:space="0" w:color="auto"/>
            </w:tcBorders>
          </w:tcPr>
          <w:p w:rsidR="00C90EE4" w:rsidRPr="00180260" w:rsidRDefault="002A0833"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30</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19" w:tooltip="Lactate_dehydrogenase" w:history="1">
              <w:r w:rsidR="00C90EE4" w:rsidRPr="00180260">
                <w:rPr>
                  <w:rFonts w:ascii="Times New Roman" w:eastAsia="Times New Roman" w:hAnsi="Times New Roman"/>
                  <w:color w:val="0000FF"/>
                  <w:sz w:val="24"/>
                  <w:szCs w:val="24"/>
                  <w:u w:val="single"/>
                </w:rPr>
                <w:t>Lactate dehydrogenase</w:t>
              </w:r>
            </w:hyperlink>
            <w:r w:rsidR="00C90EE4" w:rsidRPr="00180260">
              <w:rPr>
                <w:rFonts w:ascii="Times New Roman" w:eastAsia="Times New Roman" w:hAnsi="Times New Roman"/>
                <w:sz w:val="24"/>
                <w:szCs w:val="24"/>
              </w:rPr>
              <w:t xml:space="preserve"> (LDH)</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85 - 285 U/L</w:t>
            </w:r>
          </w:p>
        </w:tc>
        <w:tc>
          <w:tcPr>
            <w:tcW w:w="154" w:type="dxa"/>
            <w:tcBorders>
              <w:top w:val="outset" w:sz="6" w:space="0" w:color="auto"/>
              <w:left w:val="outset" w:sz="6" w:space="0" w:color="auto"/>
              <w:bottom w:val="outset" w:sz="6" w:space="0" w:color="auto"/>
              <w:right w:val="outset" w:sz="6" w:space="0" w:color="auto"/>
            </w:tcBorders>
          </w:tcPr>
          <w:p w:rsidR="00C90EE4" w:rsidRPr="00180260" w:rsidRDefault="002A0833"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200</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20" w:tooltip="Amylase" w:history="1">
              <w:r w:rsidR="00C90EE4" w:rsidRPr="00180260">
                <w:rPr>
                  <w:rFonts w:ascii="Times New Roman" w:eastAsia="Times New Roman" w:hAnsi="Times New Roman"/>
                  <w:color w:val="0000FF"/>
                  <w:sz w:val="24"/>
                  <w:szCs w:val="24"/>
                  <w:u w:val="single"/>
                </w:rPr>
                <w:t>Amylase</w:t>
              </w:r>
            </w:hyperlink>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25 - 125 U/L</w:t>
            </w:r>
          </w:p>
        </w:tc>
        <w:tc>
          <w:tcPr>
            <w:tcW w:w="154" w:type="dxa"/>
            <w:tcBorders>
              <w:top w:val="outset" w:sz="6" w:space="0" w:color="auto"/>
              <w:left w:val="outset" w:sz="6" w:space="0" w:color="auto"/>
              <w:bottom w:val="outset" w:sz="6" w:space="0" w:color="auto"/>
              <w:right w:val="outset" w:sz="6" w:space="0" w:color="auto"/>
            </w:tcBorders>
          </w:tcPr>
          <w:p w:rsidR="00C90EE4" w:rsidRPr="00180260" w:rsidRDefault="002A0833"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120</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21" w:tooltip="C-reactive_protein" w:history="1">
              <w:r w:rsidR="00C90EE4" w:rsidRPr="00180260">
                <w:rPr>
                  <w:rFonts w:ascii="Times New Roman" w:eastAsia="Times New Roman" w:hAnsi="Times New Roman"/>
                  <w:color w:val="0000FF"/>
                  <w:sz w:val="24"/>
                  <w:szCs w:val="24"/>
                  <w:u w:val="single"/>
                </w:rPr>
                <w:t>C-reactive protein</w:t>
              </w:r>
            </w:hyperlink>
            <w:r w:rsidR="00C90EE4" w:rsidRPr="00180260">
              <w:rPr>
                <w:rFonts w:ascii="Times New Roman" w:eastAsia="Times New Roman" w:hAnsi="Times New Roman"/>
                <w:sz w:val="24"/>
                <w:szCs w:val="24"/>
              </w:rPr>
              <w:t xml:space="preserve"> (CRP)</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&lt;8 mg/L</w:t>
            </w:r>
          </w:p>
        </w:tc>
        <w:tc>
          <w:tcPr>
            <w:tcW w:w="154" w:type="dxa"/>
            <w:tcBorders>
              <w:top w:val="outset" w:sz="6" w:space="0" w:color="auto"/>
              <w:left w:val="outset" w:sz="6" w:space="0" w:color="auto"/>
              <w:bottom w:val="outset" w:sz="6" w:space="0" w:color="auto"/>
              <w:right w:val="outset" w:sz="6" w:space="0" w:color="auto"/>
            </w:tcBorders>
          </w:tcPr>
          <w:p w:rsidR="00C90EE4" w:rsidRPr="00180260" w:rsidRDefault="002A0833"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10</w:t>
            </w:r>
          </w:p>
        </w:tc>
      </w:tr>
    </w:tbl>
    <w:p w:rsidR="00C90EE4" w:rsidRPr="00180260" w:rsidRDefault="00C90EE4" w:rsidP="00C90EE4">
      <w:pPr>
        <w:spacing w:before="100" w:beforeAutospacing="1" w:after="100" w:afterAutospacing="1" w:line="240" w:lineRule="auto"/>
        <w:outlineLvl w:val="2"/>
        <w:rPr>
          <w:rFonts w:ascii="Times New Roman" w:eastAsia="Times New Roman" w:hAnsi="Times New Roman"/>
          <w:b/>
          <w:bCs/>
          <w:sz w:val="27"/>
          <w:szCs w:val="27"/>
        </w:rPr>
      </w:pPr>
      <w:bookmarkStart w:id="3" w:name="Other_ions_and_trace_metals"/>
      <w:r w:rsidRPr="00180260">
        <w:rPr>
          <w:rFonts w:ascii="Times New Roman" w:eastAsia="Times New Roman" w:hAnsi="Times New Roman"/>
          <w:b/>
          <w:bCs/>
          <w:sz w:val="27"/>
          <w:szCs w:val="27"/>
        </w:rPr>
        <w:t>Other ions and trace metals</w:t>
      </w:r>
      <w:bookmarkEnd w:id="3"/>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118"/>
        <w:gridCol w:w="1964"/>
        <w:gridCol w:w="525"/>
      </w:tblGrid>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 xml:space="preserve">Ionised </w:t>
            </w:r>
            <w:hyperlink r:id="rId22" w:tooltip="Calcium" w:history="1">
              <w:r w:rsidRPr="00180260">
                <w:rPr>
                  <w:rFonts w:ascii="Times New Roman" w:eastAsia="Times New Roman" w:hAnsi="Times New Roman"/>
                  <w:color w:val="0000FF"/>
                  <w:sz w:val="24"/>
                  <w:szCs w:val="24"/>
                  <w:u w:val="single"/>
                </w:rPr>
                <w:t>calcium</w:t>
              </w:r>
            </w:hyperlink>
            <w:r w:rsidRPr="00180260">
              <w:rPr>
                <w:rFonts w:ascii="Times New Roman" w:eastAsia="Times New Roman" w:hAnsi="Times New Roman"/>
                <w:sz w:val="24"/>
                <w:szCs w:val="24"/>
              </w:rPr>
              <w:t xml:space="preserve"> (Ca)</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1.15 - 1.29 mmol/L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Default="00C90EE4"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
          <w:p w:rsidR="00C90EE4" w:rsidRDefault="003852CB"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1.01</w:t>
            </w:r>
            <w:r w:rsidR="00C90EE4">
              <w:rPr>
                <w:rFonts w:ascii="Times New Roman" w:eastAsia="Times New Roman" w:hAnsi="Times New Roman"/>
                <w:sz w:val="24"/>
                <w:szCs w:val="24"/>
              </w:rPr>
              <w:t xml:space="preserve">    </w:t>
            </w:r>
          </w:p>
          <w:p w:rsidR="00C90EE4" w:rsidRPr="00180260" w:rsidRDefault="00C90EE4"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Total calcium (Ca)</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2.05 - 2.55 mmol/L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3852CB"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2.41</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23" w:tooltip="Copper" w:history="1">
              <w:r w:rsidR="00C90EE4" w:rsidRPr="00180260">
                <w:rPr>
                  <w:rFonts w:ascii="Times New Roman" w:eastAsia="Times New Roman" w:hAnsi="Times New Roman"/>
                  <w:color w:val="0000FF"/>
                  <w:sz w:val="24"/>
                  <w:szCs w:val="24"/>
                  <w:u w:val="single"/>
                </w:rPr>
                <w:t>Copper</w:t>
              </w:r>
            </w:hyperlink>
            <w:r w:rsidR="00C90EE4" w:rsidRPr="00180260">
              <w:rPr>
                <w:rFonts w:ascii="Times New Roman" w:eastAsia="Times New Roman" w:hAnsi="Times New Roman"/>
                <w:sz w:val="24"/>
                <w:szCs w:val="24"/>
              </w:rPr>
              <w:t xml:space="preserve"> (Cu)</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11 - 26 μmol/L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24" w:tooltip="Zinc" w:history="1">
              <w:r w:rsidR="00C90EE4" w:rsidRPr="00180260">
                <w:rPr>
                  <w:rFonts w:ascii="Times New Roman" w:eastAsia="Times New Roman" w:hAnsi="Times New Roman"/>
                  <w:color w:val="0000FF"/>
                  <w:sz w:val="24"/>
                  <w:szCs w:val="24"/>
                  <w:u w:val="single"/>
                </w:rPr>
                <w:t>Zinc</w:t>
              </w:r>
            </w:hyperlink>
            <w:r w:rsidR="00C90EE4" w:rsidRPr="00180260">
              <w:rPr>
                <w:rFonts w:ascii="Times New Roman" w:eastAsia="Times New Roman" w:hAnsi="Times New Roman"/>
                <w:sz w:val="24"/>
                <w:szCs w:val="24"/>
              </w:rPr>
              <w:t xml:space="preserve"> (Zn)</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10 - 17 μmol/L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p>
        </w:tc>
      </w:tr>
    </w:tbl>
    <w:p w:rsidR="00C90EE4" w:rsidRPr="00180260" w:rsidRDefault="00C90EE4" w:rsidP="00C90EE4">
      <w:pPr>
        <w:spacing w:before="100" w:beforeAutospacing="1" w:after="100" w:afterAutospacing="1" w:line="240" w:lineRule="auto"/>
        <w:outlineLvl w:val="2"/>
        <w:rPr>
          <w:rFonts w:ascii="Times New Roman" w:eastAsia="Times New Roman" w:hAnsi="Times New Roman"/>
          <w:b/>
          <w:bCs/>
          <w:sz w:val="27"/>
          <w:szCs w:val="27"/>
        </w:rPr>
      </w:pPr>
      <w:bookmarkStart w:id="4" w:name="Lipids"/>
      <w:r w:rsidRPr="00180260">
        <w:rPr>
          <w:rFonts w:ascii="Times New Roman" w:eastAsia="Times New Roman" w:hAnsi="Times New Roman"/>
          <w:b/>
          <w:bCs/>
          <w:sz w:val="27"/>
          <w:szCs w:val="27"/>
        </w:rPr>
        <w:t>Lipids</w:t>
      </w:r>
      <w:bookmarkEnd w:id="4"/>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398"/>
        <w:gridCol w:w="1724"/>
        <w:gridCol w:w="405"/>
      </w:tblGrid>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25" w:tooltip="Triglyceride" w:history="1">
              <w:r w:rsidR="00C90EE4" w:rsidRPr="00180260">
                <w:rPr>
                  <w:rFonts w:ascii="Times New Roman" w:eastAsia="Times New Roman" w:hAnsi="Times New Roman"/>
                  <w:color w:val="0000FF"/>
                  <w:sz w:val="24"/>
                  <w:szCs w:val="24"/>
                  <w:u w:val="single"/>
                </w:rPr>
                <w:t>Triglycerides</w:t>
              </w:r>
            </w:hyperlink>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0.4 - 2.0 mmol/L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3852CB"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2.2</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 xml:space="preserve">Total </w:t>
            </w:r>
            <w:hyperlink r:id="rId26" w:tooltip="Cholesterol" w:history="1">
              <w:r w:rsidRPr="00180260">
                <w:rPr>
                  <w:rFonts w:ascii="Times New Roman" w:eastAsia="Times New Roman" w:hAnsi="Times New Roman"/>
                  <w:color w:val="0000FF"/>
                  <w:sz w:val="24"/>
                  <w:szCs w:val="24"/>
                  <w:u w:val="single"/>
                </w:rPr>
                <w:t>cholesterol</w:t>
              </w:r>
            </w:hyperlink>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3.0 - 5.5 mmol/L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3852CB"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27" w:tooltip="High_density_lipoprotein" w:history="1">
              <w:r w:rsidR="00C90EE4" w:rsidRPr="00180260">
                <w:rPr>
                  <w:rFonts w:ascii="Times New Roman" w:eastAsia="Times New Roman" w:hAnsi="Times New Roman"/>
                  <w:color w:val="0000FF"/>
                  <w:sz w:val="24"/>
                  <w:szCs w:val="24"/>
                  <w:u w:val="single"/>
                </w:rPr>
                <w:t>HDL cholesterol</w:t>
              </w:r>
            </w:hyperlink>
            <w:r w:rsidR="00C90EE4" w:rsidRPr="00180260">
              <w:rPr>
                <w:rFonts w:ascii="Times New Roman" w:eastAsia="Times New Roman" w:hAnsi="Times New Roman"/>
                <w:sz w:val="24"/>
                <w:szCs w:val="24"/>
              </w:rPr>
              <w:t xml:space="preserve"> (male)</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0.7 - 1.9 mmol/L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3852CB"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jc w:val="right"/>
              <w:rPr>
                <w:rFonts w:ascii="Times New Roman" w:eastAsia="Times New Roman" w:hAnsi="Times New Roman"/>
                <w:sz w:val="24"/>
                <w:szCs w:val="24"/>
              </w:rPr>
            </w:pPr>
            <w:r w:rsidRPr="00180260">
              <w:rPr>
                <w:rFonts w:ascii="Times New Roman" w:eastAsia="Times New Roman" w:hAnsi="Times New Roman"/>
                <w:sz w:val="24"/>
                <w:szCs w:val="24"/>
              </w:rPr>
              <w:t>(female)</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0.9 - 2.4 mmol/L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28" w:tooltip="Low_density_lipoprotein" w:history="1">
              <w:r w:rsidR="00C90EE4" w:rsidRPr="00180260">
                <w:rPr>
                  <w:rFonts w:ascii="Times New Roman" w:eastAsia="Times New Roman" w:hAnsi="Times New Roman"/>
                  <w:color w:val="0000FF"/>
                  <w:sz w:val="24"/>
                  <w:szCs w:val="24"/>
                  <w:u w:val="single"/>
                </w:rPr>
                <w:t>LDL cholesterol</w:t>
              </w:r>
            </w:hyperlink>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2.4 - 4.0 mmol/l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tc>
      </w:tr>
    </w:tbl>
    <w:p w:rsidR="00C90EE4" w:rsidRPr="00180260" w:rsidRDefault="00C90EE4" w:rsidP="00C90EE4">
      <w:pPr>
        <w:spacing w:before="100" w:beforeAutospacing="1" w:after="100" w:afterAutospacing="1" w:line="240" w:lineRule="auto"/>
        <w:outlineLvl w:val="2"/>
        <w:rPr>
          <w:rFonts w:ascii="Times New Roman" w:eastAsia="Times New Roman" w:hAnsi="Times New Roman"/>
          <w:b/>
          <w:bCs/>
          <w:sz w:val="27"/>
          <w:szCs w:val="27"/>
        </w:rPr>
      </w:pPr>
      <w:bookmarkStart w:id="5" w:name="Tumour_markers"/>
      <w:r w:rsidRPr="00180260">
        <w:rPr>
          <w:rFonts w:ascii="Times New Roman" w:eastAsia="Times New Roman" w:hAnsi="Times New Roman"/>
          <w:b/>
          <w:bCs/>
          <w:sz w:val="27"/>
          <w:szCs w:val="27"/>
        </w:rPr>
        <w:t>Tumour markers</w:t>
      </w:r>
      <w:bookmarkEnd w:id="5"/>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598"/>
        <w:gridCol w:w="1177"/>
        <w:gridCol w:w="225"/>
      </w:tblGrid>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29" w:tooltip="Alpha-fetoprotein" w:history="1">
              <w:r w:rsidR="00C90EE4" w:rsidRPr="00180260">
                <w:rPr>
                  <w:rFonts w:ascii="Times New Roman" w:eastAsia="Times New Roman" w:hAnsi="Times New Roman"/>
                  <w:color w:val="0000FF"/>
                  <w:sz w:val="24"/>
                  <w:szCs w:val="24"/>
                  <w:u w:val="single"/>
                </w:rPr>
                <w:t>Alpha-fetoprotein</w:t>
              </w:r>
            </w:hyperlink>
            <w:r w:rsidR="00C90EE4" w:rsidRPr="00180260">
              <w:rPr>
                <w:rFonts w:ascii="Times New Roman" w:eastAsia="Times New Roman" w:hAnsi="Times New Roman"/>
                <w:sz w:val="24"/>
                <w:szCs w:val="24"/>
              </w:rPr>
              <w:t xml:space="preserve"> (AFP)</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1-15 kIU/L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CA-125</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&lt;65 kU/L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30" w:tooltip="Prostate_specific_antigen" w:history="1">
              <w:r w:rsidR="00C90EE4" w:rsidRPr="00180260">
                <w:rPr>
                  <w:rFonts w:ascii="Times New Roman" w:eastAsia="Times New Roman" w:hAnsi="Times New Roman"/>
                  <w:color w:val="0000FF"/>
                  <w:sz w:val="24"/>
                  <w:szCs w:val="24"/>
                  <w:u w:val="single"/>
                </w:rPr>
                <w:t>Prostate specific antigen</w:t>
              </w:r>
            </w:hyperlink>
            <w:r w:rsidR="00C90EE4" w:rsidRPr="00180260">
              <w:rPr>
                <w:rFonts w:ascii="Times New Roman" w:eastAsia="Times New Roman" w:hAnsi="Times New Roman"/>
                <w:sz w:val="24"/>
                <w:szCs w:val="24"/>
              </w:rPr>
              <w:t xml:space="preserve"> (total PSA)</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&lt;2.0 μg/L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3  </w:t>
            </w:r>
          </w:p>
        </w:tc>
      </w:tr>
    </w:tbl>
    <w:p w:rsidR="00C90EE4" w:rsidRPr="00180260" w:rsidRDefault="00C90EE4" w:rsidP="00C90EE4">
      <w:pPr>
        <w:spacing w:before="100" w:beforeAutospacing="1" w:after="100" w:afterAutospacing="1" w:line="240" w:lineRule="auto"/>
        <w:outlineLvl w:val="2"/>
        <w:rPr>
          <w:rFonts w:ascii="Times New Roman" w:eastAsia="Times New Roman" w:hAnsi="Times New Roman"/>
          <w:b/>
          <w:bCs/>
          <w:sz w:val="27"/>
          <w:szCs w:val="27"/>
        </w:rPr>
      </w:pPr>
      <w:bookmarkStart w:id="6" w:name="Hormones"/>
      <w:r w:rsidRPr="00180260">
        <w:rPr>
          <w:rFonts w:ascii="Times New Roman" w:eastAsia="Times New Roman" w:hAnsi="Times New Roman"/>
          <w:b/>
          <w:bCs/>
          <w:sz w:val="27"/>
          <w:szCs w:val="27"/>
        </w:rPr>
        <w:t>Hormones</w:t>
      </w:r>
      <w:bookmarkEnd w:id="6"/>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838"/>
        <w:gridCol w:w="1777"/>
        <w:gridCol w:w="465"/>
      </w:tblGrid>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31" w:tooltip="Thyroid-stimulating_hormone" w:history="1">
              <w:r w:rsidR="00C90EE4" w:rsidRPr="00180260">
                <w:rPr>
                  <w:rFonts w:ascii="Times New Roman" w:eastAsia="Times New Roman" w:hAnsi="Times New Roman"/>
                  <w:color w:val="0000FF"/>
                  <w:sz w:val="24"/>
                  <w:szCs w:val="24"/>
                  <w:u w:val="single"/>
                </w:rPr>
                <w:t>Thyroid stimulating hormone</w:t>
              </w:r>
            </w:hyperlink>
            <w:r w:rsidR="00C90EE4" w:rsidRPr="00180260">
              <w:rPr>
                <w:rFonts w:ascii="Times New Roman" w:eastAsia="Times New Roman" w:hAnsi="Times New Roman"/>
                <w:sz w:val="24"/>
                <w:szCs w:val="24"/>
              </w:rPr>
              <w:t xml:space="preserve"> (TSH)</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0.5 - 4.7 mIU/L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3852CB"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 xml:space="preserve">Free </w:t>
            </w:r>
            <w:hyperlink r:id="rId32" w:tooltip="Thyroid_hormone" w:history="1">
              <w:r w:rsidRPr="00180260">
                <w:rPr>
                  <w:rFonts w:ascii="Times New Roman" w:eastAsia="Times New Roman" w:hAnsi="Times New Roman"/>
                  <w:color w:val="0000FF"/>
                  <w:sz w:val="24"/>
                  <w:szCs w:val="24"/>
                  <w:u w:val="single"/>
                </w:rPr>
                <w:t>thyroxine</w:t>
              </w:r>
            </w:hyperlink>
            <w:r w:rsidRPr="00180260">
              <w:rPr>
                <w:rFonts w:ascii="Times New Roman" w:eastAsia="Times New Roman" w:hAnsi="Times New Roman"/>
                <w:sz w:val="24"/>
                <w:szCs w:val="24"/>
              </w:rPr>
              <w:t xml:space="preserve"> (FT</w:t>
            </w:r>
            <w:r w:rsidRPr="00180260">
              <w:rPr>
                <w:rFonts w:ascii="Times New Roman" w:eastAsia="Times New Roman" w:hAnsi="Times New Roman"/>
                <w:sz w:val="24"/>
                <w:szCs w:val="24"/>
                <w:vertAlign w:val="subscript"/>
              </w:rPr>
              <w:t>4</w:t>
            </w:r>
            <w:r w:rsidRPr="00180260">
              <w:rPr>
                <w:rFonts w:ascii="Times New Roman" w:eastAsia="Times New Roman" w:hAnsi="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9.0 - 24 pmol/L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3852CB"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21</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 xml:space="preserve">Free </w:t>
            </w:r>
            <w:hyperlink r:id="rId33" w:tooltip="Thyroid_hormone" w:history="1">
              <w:r w:rsidRPr="00180260">
                <w:rPr>
                  <w:rFonts w:ascii="Times New Roman" w:eastAsia="Times New Roman" w:hAnsi="Times New Roman"/>
                  <w:color w:val="0000FF"/>
                  <w:sz w:val="24"/>
                  <w:szCs w:val="24"/>
                  <w:u w:val="single"/>
                </w:rPr>
                <w:t>triiodothyronine</w:t>
              </w:r>
            </w:hyperlink>
            <w:r w:rsidRPr="00180260">
              <w:rPr>
                <w:rFonts w:ascii="Times New Roman" w:eastAsia="Times New Roman" w:hAnsi="Times New Roman"/>
                <w:sz w:val="24"/>
                <w:szCs w:val="24"/>
              </w:rPr>
              <w:t xml:space="preserve"> (FT</w:t>
            </w:r>
            <w:r w:rsidRPr="00180260">
              <w:rPr>
                <w:rFonts w:ascii="Times New Roman" w:eastAsia="Times New Roman" w:hAnsi="Times New Roman"/>
                <w:sz w:val="24"/>
                <w:szCs w:val="24"/>
                <w:vertAlign w:val="subscript"/>
              </w:rPr>
              <w:t>3</w:t>
            </w:r>
            <w:r w:rsidRPr="00180260">
              <w:rPr>
                <w:rFonts w:ascii="Times New Roman" w:eastAsia="Times New Roman" w:hAnsi="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2.5 - 5.3 pmol/L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3852CB"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34" w:tooltip="Adrenocorticotropic_hormone" w:history="1">
              <w:r w:rsidR="00C90EE4" w:rsidRPr="00180260">
                <w:rPr>
                  <w:rFonts w:ascii="Times New Roman" w:eastAsia="Times New Roman" w:hAnsi="Times New Roman"/>
                  <w:color w:val="0000FF"/>
                  <w:sz w:val="24"/>
                  <w:szCs w:val="24"/>
                  <w:u w:val="single"/>
                </w:rPr>
                <w:t>Adrenocorticotropic hormone</w:t>
              </w:r>
            </w:hyperlink>
            <w:r w:rsidR="00C90EE4" w:rsidRPr="00180260">
              <w:rPr>
                <w:rFonts w:ascii="Times New Roman" w:eastAsia="Times New Roman" w:hAnsi="Times New Roman"/>
                <w:sz w:val="24"/>
                <w:szCs w:val="24"/>
              </w:rPr>
              <w:t xml:space="preserve"> (ACTH)</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1.3 - 15 pmol/L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3852CB"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35" w:tooltip="Cortisol" w:history="1">
              <w:r w:rsidR="00C90EE4" w:rsidRPr="00180260">
                <w:rPr>
                  <w:rFonts w:ascii="Times New Roman" w:eastAsia="Times New Roman" w:hAnsi="Times New Roman"/>
                  <w:color w:val="0000FF"/>
                  <w:sz w:val="24"/>
                  <w:szCs w:val="24"/>
                  <w:u w:val="single"/>
                </w:rPr>
                <w:t>Cortisol</w:t>
              </w:r>
            </w:hyperlink>
            <w:r w:rsidR="00C90EE4" w:rsidRPr="00180260">
              <w:rPr>
                <w:rFonts w:ascii="Times New Roman" w:eastAsia="Times New Roman" w:hAnsi="Times New Roman"/>
                <w:sz w:val="24"/>
                <w:szCs w:val="24"/>
              </w:rPr>
              <w:t xml:space="preserve"> (0830 h)</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250 - 850 nmol/L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3852CB"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402</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Cortisol (1630 h)</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110 - 390 nmol/L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36" w:tooltip="Prolactin" w:history="1">
              <w:r w:rsidR="00C90EE4" w:rsidRPr="00180260">
                <w:rPr>
                  <w:rFonts w:ascii="Times New Roman" w:eastAsia="Times New Roman" w:hAnsi="Times New Roman"/>
                  <w:color w:val="0000FF"/>
                  <w:sz w:val="24"/>
                  <w:szCs w:val="24"/>
                  <w:u w:val="single"/>
                </w:rPr>
                <w:t>Prolactin</w:t>
              </w:r>
            </w:hyperlink>
            <w:r w:rsidR="00C90EE4" w:rsidRPr="00180260">
              <w:rPr>
                <w:rFonts w:ascii="Times New Roman" w:eastAsia="Times New Roman" w:hAnsi="Times New Roman"/>
                <w:sz w:val="24"/>
                <w:szCs w:val="24"/>
              </w:rPr>
              <w:t xml:space="preserve"> (male)</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&lt;450 mIU/L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jc w:val="right"/>
              <w:rPr>
                <w:rFonts w:ascii="Times New Roman" w:eastAsia="Times New Roman" w:hAnsi="Times New Roman"/>
                <w:sz w:val="24"/>
                <w:szCs w:val="24"/>
              </w:rPr>
            </w:pPr>
            <w:r w:rsidRPr="00180260">
              <w:rPr>
                <w:rFonts w:ascii="Times New Roman" w:eastAsia="Times New Roman" w:hAnsi="Times New Roman"/>
                <w:sz w:val="24"/>
                <w:szCs w:val="24"/>
              </w:rPr>
              <w:t>(female)</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&lt;580 mIU/L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37" w:tooltip="Testosterone" w:history="1">
              <w:r w:rsidR="00C90EE4" w:rsidRPr="00180260">
                <w:rPr>
                  <w:rFonts w:ascii="Times New Roman" w:eastAsia="Times New Roman" w:hAnsi="Times New Roman"/>
                  <w:color w:val="0000FF"/>
                  <w:sz w:val="24"/>
                  <w:szCs w:val="24"/>
                  <w:u w:val="single"/>
                </w:rPr>
                <w:t>Testosterone</w:t>
              </w:r>
            </w:hyperlink>
            <w:r w:rsidR="00C90EE4" w:rsidRPr="00180260">
              <w:rPr>
                <w:rFonts w:ascii="Times New Roman" w:eastAsia="Times New Roman" w:hAnsi="Times New Roman"/>
                <w:sz w:val="24"/>
                <w:szCs w:val="24"/>
              </w:rPr>
              <w:t xml:space="preserve"> (male)</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8 - 38 nmol/L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jc w:val="right"/>
              <w:rPr>
                <w:rFonts w:ascii="Times New Roman" w:eastAsia="Times New Roman" w:hAnsi="Times New Roman"/>
                <w:sz w:val="24"/>
                <w:szCs w:val="24"/>
              </w:rPr>
            </w:pPr>
            <w:r w:rsidRPr="00180260">
              <w:rPr>
                <w:rFonts w:ascii="Times New Roman" w:eastAsia="Times New Roman" w:hAnsi="Times New Roman"/>
                <w:sz w:val="24"/>
                <w:szCs w:val="24"/>
              </w:rPr>
              <w:t>(male prepuberty)</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0.1 - 0.5 nmol/L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jc w:val="right"/>
              <w:rPr>
                <w:rFonts w:ascii="Times New Roman" w:eastAsia="Times New Roman" w:hAnsi="Times New Roman"/>
                <w:sz w:val="24"/>
                <w:szCs w:val="24"/>
              </w:rPr>
            </w:pPr>
            <w:r w:rsidRPr="00180260">
              <w:rPr>
                <w:rFonts w:ascii="Times New Roman" w:eastAsia="Times New Roman" w:hAnsi="Times New Roman"/>
                <w:sz w:val="24"/>
                <w:szCs w:val="24"/>
              </w:rPr>
              <w:t>(female)</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0.3 - 2.5 nmol/L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p>
        </w:tc>
      </w:tr>
    </w:tbl>
    <w:p w:rsidR="00C90EE4" w:rsidRPr="00180260" w:rsidRDefault="00C90EE4" w:rsidP="00C90EE4">
      <w:pPr>
        <w:spacing w:before="100" w:beforeAutospacing="1" w:after="100" w:afterAutospacing="1" w:line="240" w:lineRule="auto"/>
        <w:outlineLvl w:val="1"/>
        <w:rPr>
          <w:rFonts w:ascii="Times New Roman" w:eastAsia="Times New Roman" w:hAnsi="Times New Roman"/>
          <w:b/>
          <w:bCs/>
          <w:sz w:val="36"/>
          <w:szCs w:val="36"/>
        </w:rPr>
      </w:pPr>
      <w:bookmarkStart w:id="7" w:name="Haematology"/>
      <w:r w:rsidRPr="00180260">
        <w:rPr>
          <w:rFonts w:ascii="Times New Roman" w:eastAsia="Times New Roman" w:hAnsi="Times New Roman"/>
          <w:b/>
          <w:bCs/>
          <w:sz w:val="36"/>
          <w:szCs w:val="36"/>
        </w:rPr>
        <w:t>Haematology</w:t>
      </w:r>
      <w:bookmarkEnd w:id="7"/>
    </w:p>
    <w:p w:rsidR="00C90EE4" w:rsidRPr="00180260" w:rsidRDefault="00C90EE4" w:rsidP="00C90EE4">
      <w:pPr>
        <w:spacing w:before="100" w:beforeAutospacing="1" w:after="100" w:afterAutospacing="1" w:line="240" w:lineRule="auto"/>
        <w:outlineLvl w:val="2"/>
        <w:rPr>
          <w:rFonts w:ascii="Times New Roman" w:eastAsia="Times New Roman" w:hAnsi="Times New Roman"/>
          <w:b/>
          <w:bCs/>
          <w:sz w:val="27"/>
          <w:szCs w:val="27"/>
        </w:rPr>
      </w:pPr>
      <w:bookmarkStart w:id="8" w:name="Red_blood_cells"/>
      <w:r w:rsidRPr="00180260">
        <w:rPr>
          <w:rFonts w:ascii="Times New Roman" w:eastAsia="Times New Roman" w:hAnsi="Times New Roman"/>
          <w:b/>
          <w:bCs/>
          <w:sz w:val="27"/>
          <w:szCs w:val="27"/>
        </w:rPr>
        <w:t>Red blood cells</w:t>
      </w:r>
      <w:bookmarkEnd w:id="8"/>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138"/>
        <w:gridCol w:w="1684"/>
        <w:gridCol w:w="4098"/>
      </w:tblGrid>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38" w:tooltip="Hemoglobin" w:history="1">
              <w:r w:rsidR="00C90EE4" w:rsidRPr="00180260">
                <w:rPr>
                  <w:rFonts w:ascii="Times New Roman" w:eastAsia="Times New Roman" w:hAnsi="Times New Roman"/>
                  <w:color w:val="0000FF"/>
                  <w:sz w:val="24"/>
                  <w:szCs w:val="24"/>
                  <w:u w:val="single"/>
                </w:rPr>
                <w:t>Haemoglobin</w:t>
              </w:r>
            </w:hyperlink>
            <w:r w:rsidR="00C90EE4" w:rsidRPr="00180260">
              <w:rPr>
                <w:rFonts w:ascii="Times New Roman" w:eastAsia="Times New Roman" w:hAnsi="Times New Roman"/>
                <w:sz w:val="24"/>
                <w:szCs w:val="24"/>
              </w:rPr>
              <w:t xml:space="preserve"> (Hb) (male)</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130 - 180 g/L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3852CB"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130</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jc w:val="right"/>
              <w:rPr>
                <w:rFonts w:ascii="Times New Roman" w:eastAsia="Times New Roman" w:hAnsi="Times New Roman"/>
                <w:sz w:val="24"/>
                <w:szCs w:val="24"/>
              </w:rPr>
            </w:pPr>
            <w:r w:rsidRPr="00180260">
              <w:rPr>
                <w:rFonts w:ascii="Times New Roman" w:eastAsia="Times New Roman" w:hAnsi="Times New Roman"/>
                <w:sz w:val="24"/>
                <w:szCs w:val="24"/>
              </w:rPr>
              <w:t>(female)</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115 - 160 g/L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Sex difference negligible until adulthood.</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39" w:tooltip="Hematocrit" w:history="1">
              <w:r w:rsidR="00C90EE4" w:rsidRPr="00180260">
                <w:rPr>
                  <w:rFonts w:ascii="Times New Roman" w:eastAsia="Times New Roman" w:hAnsi="Times New Roman"/>
                  <w:color w:val="0000FF"/>
                  <w:sz w:val="24"/>
                  <w:szCs w:val="24"/>
                  <w:u w:val="single"/>
                </w:rPr>
                <w:t>Haematocrit</w:t>
              </w:r>
            </w:hyperlink>
            <w:r w:rsidR="00C90EE4" w:rsidRPr="00180260">
              <w:rPr>
                <w:rFonts w:ascii="Times New Roman" w:eastAsia="Times New Roman" w:hAnsi="Times New Roman"/>
                <w:sz w:val="24"/>
                <w:szCs w:val="24"/>
              </w:rPr>
              <w:t xml:space="preserve"> (Hct) (male)</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0.38 - 0.52</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jc w:val="right"/>
              <w:rPr>
                <w:rFonts w:ascii="Times New Roman" w:eastAsia="Times New Roman" w:hAnsi="Times New Roman"/>
                <w:sz w:val="24"/>
                <w:szCs w:val="24"/>
              </w:rPr>
            </w:pPr>
            <w:r w:rsidRPr="00180260">
              <w:rPr>
                <w:rFonts w:ascii="Times New Roman" w:eastAsia="Times New Roman" w:hAnsi="Times New Roman"/>
                <w:sz w:val="24"/>
                <w:szCs w:val="24"/>
              </w:rPr>
              <w:t>(female)</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0.35 - 0.47</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Mean cell volume (MCV)</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80 - 98 fL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3852CB"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81</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Mean cell haemoglobin (MCH)</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26 - 34 pg</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3852CB"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31</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Red cell count (male)</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4.5 - 6.5 x10</w:t>
            </w:r>
            <w:r w:rsidRPr="00180260">
              <w:rPr>
                <w:rFonts w:ascii="Times New Roman" w:eastAsia="Times New Roman" w:hAnsi="Times New Roman"/>
                <w:sz w:val="24"/>
                <w:szCs w:val="24"/>
                <w:vertAlign w:val="superscript"/>
              </w:rPr>
              <w:t>12</w:t>
            </w:r>
            <w:r w:rsidRPr="00180260">
              <w:rPr>
                <w:rFonts w:ascii="Times New Roman" w:eastAsia="Times New Roman" w:hAnsi="Times New Roman"/>
                <w:sz w:val="24"/>
                <w:szCs w:val="24"/>
              </w:rPr>
              <w:t>/L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3852CB"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jc w:val="right"/>
              <w:rPr>
                <w:rFonts w:ascii="Times New Roman" w:eastAsia="Times New Roman" w:hAnsi="Times New Roman"/>
                <w:sz w:val="24"/>
                <w:szCs w:val="24"/>
              </w:rPr>
            </w:pPr>
            <w:r w:rsidRPr="00180260">
              <w:rPr>
                <w:rFonts w:ascii="Times New Roman" w:eastAsia="Times New Roman" w:hAnsi="Times New Roman"/>
                <w:sz w:val="24"/>
                <w:szCs w:val="24"/>
              </w:rPr>
              <w:t>(female)</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3.8 - 5.8 x10</w:t>
            </w:r>
            <w:r w:rsidRPr="00180260">
              <w:rPr>
                <w:rFonts w:ascii="Times New Roman" w:eastAsia="Times New Roman" w:hAnsi="Times New Roman"/>
                <w:sz w:val="24"/>
                <w:szCs w:val="24"/>
                <w:vertAlign w:val="superscript"/>
              </w:rPr>
              <w:t>12</w:t>
            </w:r>
            <w:r w:rsidRPr="00180260">
              <w:rPr>
                <w:rFonts w:ascii="Times New Roman" w:eastAsia="Times New Roman" w:hAnsi="Times New Roman"/>
                <w:sz w:val="24"/>
                <w:szCs w:val="24"/>
              </w:rPr>
              <w:t>/L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Reticulocytes</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10 - 100 x10</w:t>
            </w:r>
            <w:r w:rsidRPr="00180260">
              <w:rPr>
                <w:rFonts w:ascii="Times New Roman" w:eastAsia="Times New Roman" w:hAnsi="Times New Roman"/>
                <w:sz w:val="24"/>
                <w:szCs w:val="24"/>
                <w:vertAlign w:val="superscript"/>
              </w:rPr>
              <w:t>9</w:t>
            </w:r>
            <w:r w:rsidRPr="00180260">
              <w:rPr>
                <w:rFonts w:ascii="Times New Roman" w:eastAsia="Times New Roman" w:hAnsi="Times New Roman"/>
                <w:sz w:val="24"/>
                <w:szCs w:val="24"/>
              </w:rPr>
              <w:t>/L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3852CB"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40" w:tooltip="Erythrocyte_sedimentation_rate" w:history="1">
              <w:r w:rsidR="00C90EE4" w:rsidRPr="00180260">
                <w:rPr>
                  <w:rFonts w:ascii="Times New Roman" w:eastAsia="Times New Roman" w:hAnsi="Times New Roman"/>
                  <w:color w:val="0000FF"/>
                  <w:sz w:val="24"/>
                  <w:szCs w:val="24"/>
                  <w:u w:val="single"/>
                </w:rPr>
                <w:t>Erythrocyte</w:t>
              </w:r>
            </w:hyperlink>
            <w:r w:rsidR="00C90EE4" w:rsidRPr="00180260">
              <w:rPr>
                <w:rFonts w:ascii="Times New Roman" w:eastAsia="Times New Roman" w:hAnsi="Times New Roman"/>
                <w:sz w:val="24"/>
                <w:szCs w:val="24"/>
              </w:rPr>
              <w:br/>
            </w:r>
            <w:hyperlink r:id="rId41" w:tooltip="Erythrocyte_sedimentation_rate" w:history="1">
              <w:r w:rsidR="00C90EE4" w:rsidRPr="00180260">
                <w:rPr>
                  <w:rFonts w:ascii="Times New Roman" w:eastAsia="Times New Roman" w:hAnsi="Times New Roman"/>
                  <w:color w:val="0000FF"/>
                  <w:sz w:val="24"/>
                  <w:szCs w:val="24"/>
                  <w:u w:val="single"/>
                </w:rPr>
                <w:t>sedimentation rate</w:t>
              </w:r>
            </w:hyperlink>
            <w:r w:rsidR="00C90EE4" w:rsidRPr="00180260">
              <w:rPr>
                <w:rFonts w:ascii="Times New Roman" w:eastAsia="Times New Roman" w:hAnsi="Times New Roman"/>
                <w:sz w:val="24"/>
                <w:szCs w:val="24"/>
              </w:rPr>
              <w:t xml:space="preserve"> (ESR)</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3852CB"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14</w:t>
            </w:r>
          </w:p>
        </w:tc>
      </w:tr>
    </w:tbl>
    <w:p w:rsidR="00C90EE4" w:rsidRPr="00180260" w:rsidRDefault="00C90EE4" w:rsidP="00C90EE4">
      <w:pPr>
        <w:spacing w:before="100" w:beforeAutospacing="1" w:after="100" w:afterAutospacing="1" w:line="240" w:lineRule="auto"/>
        <w:outlineLvl w:val="2"/>
        <w:rPr>
          <w:rFonts w:ascii="Times New Roman" w:eastAsia="Times New Roman" w:hAnsi="Times New Roman"/>
          <w:b/>
          <w:bCs/>
          <w:sz w:val="27"/>
          <w:szCs w:val="27"/>
        </w:rPr>
      </w:pPr>
      <w:bookmarkStart w:id="9" w:name="White_blood_cells"/>
      <w:r w:rsidRPr="00180260">
        <w:rPr>
          <w:rFonts w:ascii="Times New Roman" w:eastAsia="Times New Roman" w:hAnsi="Times New Roman"/>
          <w:b/>
          <w:bCs/>
          <w:sz w:val="27"/>
          <w:szCs w:val="27"/>
        </w:rPr>
        <w:t>White blood cells</w:t>
      </w:r>
      <w:bookmarkEnd w:id="9"/>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432"/>
        <w:gridCol w:w="1724"/>
        <w:gridCol w:w="405"/>
      </w:tblGrid>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Total white blood cells</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4.0 - 11.0 x10</w:t>
            </w:r>
            <w:r w:rsidRPr="00180260">
              <w:rPr>
                <w:rFonts w:ascii="Times New Roman" w:eastAsia="Times New Roman" w:hAnsi="Times New Roman"/>
                <w:sz w:val="24"/>
                <w:szCs w:val="24"/>
                <w:vertAlign w:val="superscript"/>
              </w:rPr>
              <w:t>9</w:t>
            </w:r>
            <w:r w:rsidRPr="00180260">
              <w:rPr>
                <w:rFonts w:ascii="Times New Roman" w:eastAsia="Times New Roman" w:hAnsi="Times New Roman"/>
                <w:sz w:val="24"/>
                <w:szCs w:val="24"/>
              </w:rPr>
              <w:t>/L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3852CB"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Neutrophil granulocytes</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2.0 - 7.5 x10</w:t>
            </w:r>
            <w:r w:rsidRPr="00180260">
              <w:rPr>
                <w:rFonts w:ascii="Times New Roman" w:eastAsia="Times New Roman" w:hAnsi="Times New Roman"/>
                <w:sz w:val="24"/>
                <w:szCs w:val="24"/>
                <w:vertAlign w:val="superscript"/>
              </w:rPr>
              <w:t>9</w:t>
            </w:r>
            <w:r w:rsidRPr="00180260">
              <w:rPr>
                <w:rFonts w:ascii="Times New Roman" w:eastAsia="Times New Roman" w:hAnsi="Times New Roman"/>
                <w:sz w:val="24"/>
                <w:szCs w:val="24"/>
              </w:rPr>
              <w:t>/L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3852CB"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42" w:tooltip="Lymphocyte" w:history="1">
              <w:r w:rsidR="00C90EE4" w:rsidRPr="00180260">
                <w:rPr>
                  <w:rFonts w:ascii="Times New Roman" w:eastAsia="Times New Roman" w:hAnsi="Times New Roman"/>
                  <w:color w:val="0000FF"/>
                  <w:sz w:val="24"/>
                  <w:szCs w:val="24"/>
                  <w:u w:val="single"/>
                </w:rPr>
                <w:t>Lymphocytes</w:t>
              </w:r>
            </w:hyperlink>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1.0 - 4.0 x10</w:t>
            </w:r>
            <w:r w:rsidRPr="00180260">
              <w:rPr>
                <w:rFonts w:ascii="Times New Roman" w:eastAsia="Times New Roman" w:hAnsi="Times New Roman"/>
                <w:sz w:val="24"/>
                <w:szCs w:val="24"/>
                <w:vertAlign w:val="superscript"/>
              </w:rPr>
              <w:t>9</w:t>
            </w:r>
            <w:r w:rsidRPr="00180260">
              <w:rPr>
                <w:rFonts w:ascii="Times New Roman" w:eastAsia="Times New Roman" w:hAnsi="Times New Roman"/>
                <w:sz w:val="24"/>
                <w:szCs w:val="24"/>
              </w:rPr>
              <w:t>/L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3852CB"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Monocytes</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0.0 - 0.8 x10</w:t>
            </w:r>
            <w:r w:rsidRPr="00180260">
              <w:rPr>
                <w:rFonts w:ascii="Times New Roman" w:eastAsia="Times New Roman" w:hAnsi="Times New Roman"/>
                <w:sz w:val="24"/>
                <w:szCs w:val="24"/>
                <w:vertAlign w:val="superscript"/>
              </w:rPr>
              <w:t>9</w:t>
            </w:r>
            <w:r w:rsidRPr="00180260">
              <w:rPr>
                <w:rFonts w:ascii="Times New Roman" w:eastAsia="Times New Roman" w:hAnsi="Times New Roman"/>
                <w:sz w:val="24"/>
                <w:szCs w:val="24"/>
              </w:rPr>
              <w:t>/L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3852CB"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0.4</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Eosinophil granulocytes</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0.0 - 0.5 x10</w:t>
            </w:r>
            <w:r w:rsidRPr="00180260">
              <w:rPr>
                <w:rFonts w:ascii="Times New Roman" w:eastAsia="Times New Roman" w:hAnsi="Times New Roman"/>
                <w:sz w:val="24"/>
                <w:szCs w:val="24"/>
                <w:vertAlign w:val="superscript"/>
              </w:rPr>
              <w:t>9</w:t>
            </w:r>
            <w:r w:rsidRPr="00180260">
              <w:rPr>
                <w:rFonts w:ascii="Times New Roman" w:eastAsia="Times New Roman" w:hAnsi="Times New Roman"/>
                <w:sz w:val="24"/>
                <w:szCs w:val="24"/>
              </w:rPr>
              <w:t>/L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0.4</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Basophil granulocytes</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0.0 - 0.2 x10</w:t>
            </w:r>
            <w:r w:rsidRPr="00180260">
              <w:rPr>
                <w:rFonts w:ascii="Times New Roman" w:eastAsia="Times New Roman" w:hAnsi="Times New Roman"/>
                <w:sz w:val="24"/>
                <w:szCs w:val="24"/>
                <w:vertAlign w:val="superscript"/>
              </w:rPr>
              <w:t>9</w:t>
            </w:r>
            <w:r w:rsidRPr="00180260">
              <w:rPr>
                <w:rFonts w:ascii="Times New Roman" w:eastAsia="Times New Roman" w:hAnsi="Times New Roman"/>
                <w:sz w:val="24"/>
                <w:szCs w:val="24"/>
              </w:rPr>
              <w:t>/L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0.1</w:t>
            </w:r>
          </w:p>
        </w:tc>
      </w:tr>
    </w:tbl>
    <w:p w:rsidR="00C90EE4" w:rsidRPr="00180260" w:rsidRDefault="00C90EE4" w:rsidP="00C90EE4">
      <w:pPr>
        <w:spacing w:before="100" w:beforeAutospacing="1" w:after="100" w:afterAutospacing="1" w:line="240" w:lineRule="auto"/>
        <w:outlineLvl w:val="2"/>
        <w:rPr>
          <w:rFonts w:ascii="Times New Roman" w:eastAsia="Times New Roman" w:hAnsi="Times New Roman"/>
          <w:b/>
          <w:bCs/>
          <w:sz w:val="27"/>
          <w:szCs w:val="27"/>
        </w:rPr>
      </w:pPr>
      <w:bookmarkStart w:id="10" w:name="Coagulation"/>
      <w:r w:rsidRPr="00180260">
        <w:rPr>
          <w:rFonts w:ascii="Times New Roman" w:eastAsia="Times New Roman" w:hAnsi="Times New Roman"/>
          <w:b/>
          <w:bCs/>
          <w:sz w:val="27"/>
          <w:szCs w:val="27"/>
        </w:rPr>
        <w:t>Coagulation</w:t>
      </w:r>
      <w:bookmarkEnd w:id="10"/>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31"/>
        <w:gridCol w:w="1350"/>
        <w:gridCol w:w="345"/>
      </w:tblGrid>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43" w:tooltip="International_normalized_ratio" w:history="1">
              <w:r w:rsidR="00C90EE4" w:rsidRPr="00180260">
                <w:rPr>
                  <w:rFonts w:ascii="Times New Roman" w:eastAsia="Times New Roman" w:hAnsi="Times New Roman"/>
                  <w:color w:val="0000FF"/>
                  <w:sz w:val="24"/>
                  <w:szCs w:val="24"/>
                  <w:u w:val="single"/>
                </w:rPr>
                <w:t>Prothrombin time</w:t>
              </w:r>
            </w:hyperlink>
            <w:r w:rsidR="00C90EE4" w:rsidRPr="00180260">
              <w:rPr>
                <w:rFonts w:ascii="Times New Roman" w:eastAsia="Times New Roman" w:hAnsi="Times New Roman"/>
                <w:sz w:val="24"/>
                <w:szCs w:val="24"/>
              </w:rPr>
              <w:t xml:space="preserve"> (PT)</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7 - 10 s</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3852CB"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10</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44" w:tooltip="International_normalized_ratio" w:history="1">
              <w:r w:rsidR="00C90EE4" w:rsidRPr="00180260">
                <w:rPr>
                  <w:rFonts w:ascii="Times New Roman" w:eastAsia="Times New Roman" w:hAnsi="Times New Roman"/>
                  <w:color w:val="0000FF"/>
                  <w:sz w:val="24"/>
                  <w:szCs w:val="24"/>
                  <w:u w:val="single"/>
                </w:rPr>
                <w:t>INR</w:t>
              </w:r>
            </w:hyperlink>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0.8 - 1.2</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3852CB"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Activated partial thromboplastin time (APTT)</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29 - 41 s</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Thrombin clotting time (TCT)</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11 - 18 s</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45" w:tooltip="Fibrin" w:history="1">
              <w:r w:rsidR="00C90EE4" w:rsidRPr="00180260">
                <w:rPr>
                  <w:rFonts w:ascii="Times New Roman" w:eastAsia="Times New Roman" w:hAnsi="Times New Roman"/>
                  <w:color w:val="0000FF"/>
                  <w:sz w:val="24"/>
                  <w:szCs w:val="24"/>
                  <w:u w:val="single"/>
                </w:rPr>
                <w:t>Fibrinogen</w:t>
              </w:r>
            </w:hyperlink>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1.8 - 4.0 g/L</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B67B0D" w:rsidP="006D6E4A">
            <w:pPr>
              <w:spacing w:after="0" w:line="240" w:lineRule="auto"/>
              <w:rPr>
                <w:rFonts w:ascii="Times New Roman" w:eastAsia="Times New Roman" w:hAnsi="Times New Roman"/>
                <w:sz w:val="24"/>
                <w:szCs w:val="24"/>
              </w:rPr>
            </w:pPr>
            <w:hyperlink r:id="rId46" w:tooltip="Bleeding_time" w:history="1">
              <w:r w:rsidR="00C90EE4" w:rsidRPr="00180260">
                <w:rPr>
                  <w:rFonts w:ascii="Times New Roman" w:eastAsia="Times New Roman" w:hAnsi="Times New Roman"/>
                  <w:color w:val="0000FF"/>
                  <w:sz w:val="24"/>
                  <w:szCs w:val="24"/>
                  <w:u w:val="single"/>
                </w:rPr>
                <w:t>Bleeding time</w:t>
              </w:r>
            </w:hyperlink>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2 - 8 minutes</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p>
        </w:tc>
      </w:tr>
    </w:tbl>
    <w:p w:rsidR="00C90EE4" w:rsidRPr="00180260" w:rsidRDefault="00C90EE4" w:rsidP="00C90EE4">
      <w:pPr>
        <w:spacing w:before="100" w:beforeAutospacing="1" w:after="100" w:afterAutospacing="1" w:line="240" w:lineRule="auto"/>
        <w:outlineLvl w:val="1"/>
        <w:rPr>
          <w:rFonts w:ascii="Times New Roman" w:eastAsia="Times New Roman" w:hAnsi="Times New Roman"/>
          <w:b/>
          <w:bCs/>
          <w:sz w:val="36"/>
          <w:szCs w:val="36"/>
        </w:rPr>
      </w:pPr>
      <w:bookmarkStart w:id="11" w:name="Immunology"/>
      <w:r w:rsidRPr="00180260">
        <w:rPr>
          <w:rFonts w:ascii="Times New Roman" w:eastAsia="Times New Roman" w:hAnsi="Times New Roman"/>
          <w:b/>
          <w:bCs/>
          <w:sz w:val="36"/>
          <w:szCs w:val="36"/>
        </w:rPr>
        <w:t>Immunology</w:t>
      </w:r>
      <w:bookmarkEnd w:id="11"/>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444"/>
        <w:gridCol w:w="110"/>
        <w:gridCol w:w="1418"/>
      </w:tblGrid>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Antinuclear antibodies (ANA)</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Not Indicated</w:t>
            </w:r>
          </w:p>
        </w:tc>
      </w:tr>
      <w:tr w:rsidR="00C90EE4" w:rsidRPr="0018026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sidRPr="00180260">
              <w:rPr>
                <w:rFonts w:ascii="Times New Roman" w:eastAsia="Times New Roman" w:hAnsi="Times New Roman"/>
                <w:sz w:val="24"/>
                <w:szCs w:val="24"/>
              </w:rPr>
              <w:t>Extractable nuclear antigen (ENA)</w:t>
            </w: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C90EE4" w:rsidRPr="00180260" w:rsidRDefault="00C90EE4" w:rsidP="006D6E4A">
            <w:pPr>
              <w:spacing w:after="0" w:line="240" w:lineRule="auto"/>
              <w:rPr>
                <w:rFonts w:ascii="Times New Roman" w:eastAsia="Times New Roman" w:hAnsi="Times New Roman"/>
                <w:sz w:val="24"/>
                <w:szCs w:val="24"/>
              </w:rPr>
            </w:pPr>
            <w:r>
              <w:rPr>
                <w:rFonts w:ascii="Times New Roman" w:eastAsia="Times New Roman" w:hAnsi="Times New Roman"/>
                <w:sz w:val="24"/>
                <w:szCs w:val="24"/>
              </w:rPr>
              <w:t>Not Indicated</w:t>
            </w:r>
          </w:p>
        </w:tc>
      </w:tr>
    </w:tbl>
    <w:p w:rsidR="00C90EE4" w:rsidRDefault="00C90EE4" w:rsidP="00C90EE4"/>
    <w:p w:rsidR="00C90EE4" w:rsidRDefault="00C90EE4"/>
    <w:sectPr w:rsidR="00C90EE4" w:rsidSect="0012398E">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NeueLTStd-BlkCn">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compat/>
  <w:rsids>
    <w:rsidRoot w:val="00C90EE4"/>
    <w:rsid w:val="0012398E"/>
    <w:rsid w:val="002A0833"/>
    <w:rsid w:val="003852CB"/>
    <w:rsid w:val="004101D3"/>
    <w:rsid w:val="0086094E"/>
    <w:rsid w:val="009E7ADC"/>
    <w:rsid w:val="009F22AC"/>
    <w:rsid w:val="00B67B0D"/>
    <w:rsid w:val="00C52FC8"/>
    <w:rsid w:val="00C90EE4"/>
    <w:rsid w:val="00DF15A5"/>
  </w:rsids>
  <m:mathPr>
    <m:mathFont m:val="Abadi MT Condensed Light"/>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98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8609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94E"/>
    <w:rPr>
      <w:rFonts w:ascii="Tahoma" w:hAnsi="Tahoma" w:cs="Tahoma"/>
      <w:sz w:val="16"/>
      <w:szCs w:val="16"/>
    </w:rPr>
  </w:style>
  <w:style w:type="character" w:styleId="Strong">
    <w:name w:val="Strong"/>
    <w:basedOn w:val="DefaultParagraphFont"/>
    <w:uiPriority w:val="22"/>
    <w:qFormat/>
    <w:rsid w:val="009E7ADC"/>
    <w:rPr>
      <w:b/>
      <w:bCs/>
    </w:rPr>
  </w:style>
  <w:style w:type="character" w:styleId="Emphasis">
    <w:name w:val="Emphasis"/>
    <w:basedOn w:val="DefaultParagraphFont"/>
    <w:uiPriority w:val="20"/>
    <w:qFormat/>
    <w:rsid w:val="009E7ADC"/>
    <w:rPr>
      <w:i/>
      <w:iCs/>
    </w:rPr>
  </w:style>
  <w:style w:type="character" w:styleId="Hyperlink">
    <w:name w:val="Hyperlink"/>
    <w:basedOn w:val="DefaultParagraphFont"/>
    <w:uiPriority w:val="99"/>
    <w:semiHidden/>
    <w:unhideWhenUsed/>
    <w:rsid w:val="002A0833"/>
    <w:rPr>
      <w:color w:val="0000FF"/>
      <w:u w:val="single"/>
    </w:rPr>
  </w:style>
  <w:style w:type="character" w:customStyle="1" w:styleId="citation-abbreviation">
    <w:name w:val="citation-abbreviation"/>
    <w:basedOn w:val="DefaultParagraphFont"/>
    <w:rsid w:val="002A0833"/>
  </w:style>
  <w:style w:type="character" w:customStyle="1" w:styleId="citation-volume">
    <w:name w:val="citation-volume"/>
    <w:basedOn w:val="DefaultParagraphFont"/>
    <w:rsid w:val="002A0833"/>
  </w:style>
  <w:style w:type="character" w:customStyle="1" w:styleId="citation-issue">
    <w:name w:val="citation-issue"/>
    <w:basedOn w:val="DefaultParagraphFont"/>
    <w:rsid w:val="002A0833"/>
  </w:style>
  <w:style w:type="character" w:customStyle="1" w:styleId="citation-flpages">
    <w:name w:val="citation-flpages"/>
    <w:basedOn w:val="DefaultParagraphFont"/>
    <w:rsid w:val="002A0833"/>
  </w:style>
  <w:style w:type="character" w:customStyle="1" w:styleId="fm-vol-iss-date">
    <w:name w:val="fm-vol-iss-date"/>
    <w:basedOn w:val="DefaultParagraphFont"/>
    <w:rsid w:val="002A0833"/>
  </w:style>
  <w:style w:type="character" w:customStyle="1" w:styleId="fm-citation-ids-label">
    <w:name w:val="fm-citation-ids-label"/>
    <w:basedOn w:val="DefaultParagraphFont"/>
    <w:rsid w:val="002A0833"/>
  </w:style>
</w:styles>
</file>

<file path=word/webSettings.xml><?xml version="1.0" encoding="utf-8"?>
<w:webSettings xmlns:r="http://schemas.openxmlformats.org/officeDocument/2006/relationships" xmlns:w="http://schemas.openxmlformats.org/wordprocessingml/2006/main">
  <w:divs>
    <w:div w:id="399255699">
      <w:bodyDiv w:val="1"/>
      <w:marLeft w:val="0"/>
      <w:marRight w:val="0"/>
      <w:marTop w:val="0"/>
      <w:marBottom w:val="0"/>
      <w:divBdr>
        <w:top w:val="none" w:sz="0" w:space="0" w:color="auto"/>
        <w:left w:val="none" w:sz="0" w:space="0" w:color="auto"/>
        <w:bottom w:val="none" w:sz="0" w:space="0" w:color="auto"/>
        <w:right w:val="none" w:sz="0" w:space="0" w:color="auto"/>
      </w:divBdr>
      <w:divsChild>
        <w:div w:id="198202901">
          <w:marLeft w:val="0"/>
          <w:marRight w:val="0"/>
          <w:marTop w:val="0"/>
          <w:marBottom w:val="0"/>
          <w:divBdr>
            <w:top w:val="none" w:sz="0" w:space="0" w:color="auto"/>
            <w:left w:val="none" w:sz="0" w:space="0" w:color="auto"/>
            <w:bottom w:val="none" w:sz="0" w:space="0" w:color="auto"/>
            <w:right w:val="none" w:sz="0" w:space="0" w:color="auto"/>
          </w:divBdr>
          <w:divsChild>
            <w:div w:id="472255940">
              <w:marLeft w:val="0"/>
              <w:marRight w:val="0"/>
              <w:marTop w:val="0"/>
              <w:marBottom w:val="0"/>
              <w:divBdr>
                <w:top w:val="none" w:sz="0" w:space="0" w:color="auto"/>
                <w:left w:val="none" w:sz="0" w:space="0" w:color="auto"/>
                <w:bottom w:val="none" w:sz="0" w:space="0" w:color="auto"/>
                <w:right w:val="none" w:sz="0" w:space="0" w:color="auto"/>
              </w:divBdr>
            </w:div>
            <w:div w:id="349180779">
              <w:marLeft w:val="0"/>
              <w:marRight w:val="0"/>
              <w:marTop w:val="0"/>
              <w:marBottom w:val="0"/>
              <w:divBdr>
                <w:top w:val="none" w:sz="0" w:space="0" w:color="auto"/>
                <w:left w:val="none" w:sz="0" w:space="0" w:color="auto"/>
                <w:bottom w:val="none" w:sz="0" w:space="0" w:color="auto"/>
                <w:right w:val="none" w:sz="0" w:space="0" w:color="auto"/>
              </w:divBdr>
            </w:div>
          </w:divsChild>
        </w:div>
        <w:div w:id="119420342">
          <w:marLeft w:val="0"/>
          <w:marRight w:val="0"/>
          <w:marTop w:val="0"/>
          <w:marBottom w:val="0"/>
          <w:divBdr>
            <w:top w:val="none" w:sz="0" w:space="0" w:color="auto"/>
            <w:left w:val="none" w:sz="0" w:space="0" w:color="auto"/>
            <w:bottom w:val="none" w:sz="0" w:space="0" w:color="auto"/>
            <w:right w:val="none" w:sz="0" w:space="0" w:color="auto"/>
          </w:divBdr>
        </w:div>
        <w:div w:id="788084289">
          <w:marLeft w:val="0"/>
          <w:marRight w:val="0"/>
          <w:marTop w:val="0"/>
          <w:marBottom w:val="0"/>
          <w:divBdr>
            <w:top w:val="none" w:sz="0" w:space="0" w:color="auto"/>
            <w:left w:val="none" w:sz="0" w:space="0" w:color="auto"/>
            <w:bottom w:val="none" w:sz="0" w:space="0" w:color="auto"/>
            <w:right w:val="none" w:sz="0" w:space="0" w:color="auto"/>
          </w:divBdr>
        </w:div>
        <w:div w:id="2146392341">
          <w:marLeft w:val="0"/>
          <w:marRight w:val="0"/>
          <w:marTop w:val="0"/>
          <w:marBottom w:val="0"/>
          <w:divBdr>
            <w:top w:val="none" w:sz="0" w:space="0" w:color="auto"/>
            <w:left w:val="none" w:sz="0" w:space="0" w:color="auto"/>
            <w:bottom w:val="none" w:sz="0" w:space="0" w:color="auto"/>
            <w:right w:val="none" w:sz="0" w:space="0" w:color="auto"/>
          </w:divBdr>
        </w:div>
        <w:div w:id="757753981">
          <w:marLeft w:val="0"/>
          <w:marRight w:val="0"/>
          <w:marTop w:val="0"/>
          <w:marBottom w:val="0"/>
          <w:divBdr>
            <w:top w:val="none" w:sz="0" w:space="0" w:color="auto"/>
            <w:left w:val="none" w:sz="0" w:space="0" w:color="auto"/>
            <w:bottom w:val="none" w:sz="0" w:space="0" w:color="auto"/>
            <w:right w:val="none" w:sz="0" w:space="0" w:color="auto"/>
          </w:divBdr>
        </w:div>
      </w:divsChild>
    </w:div>
    <w:div w:id="1307540834">
      <w:bodyDiv w:val="1"/>
      <w:marLeft w:val="0"/>
      <w:marRight w:val="0"/>
      <w:marTop w:val="0"/>
      <w:marBottom w:val="0"/>
      <w:divBdr>
        <w:top w:val="none" w:sz="0" w:space="0" w:color="auto"/>
        <w:left w:val="none" w:sz="0" w:space="0" w:color="auto"/>
        <w:bottom w:val="none" w:sz="0" w:space="0" w:color="auto"/>
        <w:right w:val="none" w:sz="0" w:space="0" w:color="auto"/>
      </w:divBdr>
      <w:divsChild>
        <w:div w:id="992370590">
          <w:marLeft w:val="0"/>
          <w:marRight w:val="0"/>
          <w:marTop w:val="0"/>
          <w:marBottom w:val="0"/>
          <w:divBdr>
            <w:top w:val="none" w:sz="0" w:space="0" w:color="auto"/>
            <w:left w:val="none" w:sz="0" w:space="0" w:color="auto"/>
            <w:bottom w:val="none" w:sz="0" w:space="0" w:color="auto"/>
            <w:right w:val="none" w:sz="0" w:space="0" w:color="auto"/>
          </w:divBdr>
          <w:divsChild>
            <w:div w:id="1524787701">
              <w:marLeft w:val="0"/>
              <w:marRight w:val="0"/>
              <w:marTop w:val="0"/>
              <w:marBottom w:val="0"/>
              <w:divBdr>
                <w:top w:val="none" w:sz="0" w:space="0" w:color="auto"/>
                <w:left w:val="none" w:sz="0" w:space="0" w:color="auto"/>
                <w:bottom w:val="none" w:sz="0" w:space="0" w:color="auto"/>
                <w:right w:val="none" w:sz="0" w:space="0" w:color="auto"/>
              </w:divBdr>
            </w:div>
            <w:div w:id="201865219">
              <w:marLeft w:val="0"/>
              <w:marRight w:val="0"/>
              <w:marTop w:val="0"/>
              <w:marBottom w:val="0"/>
              <w:divBdr>
                <w:top w:val="none" w:sz="0" w:space="0" w:color="auto"/>
                <w:left w:val="none" w:sz="0" w:space="0" w:color="auto"/>
                <w:bottom w:val="none" w:sz="0" w:space="0" w:color="auto"/>
                <w:right w:val="none" w:sz="0" w:space="0" w:color="auto"/>
              </w:divBdr>
            </w:div>
            <w:div w:id="1881354586">
              <w:marLeft w:val="0"/>
              <w:marRight w:val="0"/>
              <w:marTop w:val="0"/>
              <w:marBottom w:val="0"/>
              <w:divBdr>
                <w:top w:val="none" w:sz="0" w:space="0" w:color="auto"/>
                <w:left w:val="none" w:sz="0" w:space="0" w:color="auto"/>
                <w:bottom w:val="none" w:sz="0" w:space="0" w:color="auto"/>
                <w:right w:val="none" w:sz="0" w:space="0" w:color="auto"/>
              </w:divBdr>
            </w:div>
            <w:div w:id="145524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july.fixedreference.org/en/20040724/wikipedia/Bleeding_time" TargetMode="External"/><Relationship Id="rId35" Type="http://schemas.openxmlformats.org/officeDocument/2006/relationships/hyperlink" Target="http://july.fixedreference.org/en/20040724/wikipedia/Cortisol" TargetMode="External"/><Relationship Id="rId31" Type="http://schemas.openxmlformats.org/officeDocument/2006/relationships/hyperlink" Target="http://july.fixedreference.org/en/20040724/wikipedia/Thyroid-stimulating_hormone" TargetMode="External"/><Relationship Id="rId34" Type="http://schemas.openxmlformats.org/officeDocument/2006/relationships/hyperlink" Target="http://july.fixedreference.org/en/20040724/wikipedia/Adrenocorticotropic_hormone" TargetMode="External"/><Relationship Id="rId39" Type="http://schemas.openxmlformats.org/officeDocument/2006/relationships/hyperlink" Target="http://july.fixedreference.org/en/20040724/wikipedia/Hematocrit" TargetMode="External"/><Relationship Id="rId40" Type="http://schemas.openxmlformats.org/officeDocument/2006/relationships/hyperlink" Target="http://july.fixedreference.org/en/20040724/wikipedia/Erythrocyte_sedimentation_rate" TargetMode="External"/><Relationship Id="rId7" Type="http://schemas.openxmlformats.org/officeDocument/2006/relationships/image" Target="media/image3.gif"/><Relationship Id="rId36" Type="http://schemas.openxmlformats.org/officeDocument/2006/relationships/hyperlink" Target="http://july.fixedreference.org/en/20040724/wikipedia/Prolactin" TargetMode="External"/><Relationship Id="rId43" Type="http://schemas.openxmlformats.org/officeDocument/2006/relationships/hyperlink" Target="http://july.fixedreference.org/en/20040724/wikipedia/International_normalized_ratio" TargetMode="External"/><Relationship Id="rId1" Type="http://schemas.openxmlformats.org/officeDocument/2006/relationships/styles" Target="styles.xml"/><Relationship Id="rId24" Type="http://schemas.openxmlformats.org/officeDocument/2006/relationships/hyperlink" Target="http://july.fixedreference.org/en/20040724/wikipedia/Zinc" TargetMode="External"/><Relationship Id="rId25" Type="http://schemas.openxmlformats.org/officeDocument/2006/relationships/hyperlink" Target="http://july.fixedreference.org/en/20040724/wikipedia/Triglyceride" TargetMode="External"/><Relationship Id="rId47" Type="http://schemas.openxmlformats.org/officeDocument/2006/relationships/fontTable" Target="fontTable.xml"/><Relationship Id="rId48" Type="http://schemas.openxmlformats.org/officeDocument/2006/relationships/theme" Target="theme/theme1.xml"/><Relationship Id="rId8" Type="http://schemas.openxmlformats.org/officeDocument/2006/relationships/hyperlink" Target="http://www.ncbi.nlm.nih.gov/pmc/articles/PMC2731690/" TargetMode="External"/><Relationship Id="rId13" Type="http://schemas.openxmlformats.org/officeDocument/2006/relationships/hyperlink" Target="http://july.fixedreference.org/en/20040724/wikipedia/Creatinine" TargetMode="External"/><Relationship Id="rId10" Type="http://schemas.openxmlformats.org/officeDocument/2006/relationships/hyperlink" Target="http://july.fixedreference.org/en/20040724/wikipedia/Sodium" TargetMode="External"/><Relationship Id="rId32" Type="http://schemas.openxmlformats.org/officeDocument/2006/relationships/hyperlink" Target="http://july.fixedreference.org/en/20040724/wikipedia/Thyroid_hormone" TargetMode="External"/><Relationship Id="rId37" Type="http://schemas.openxmlformats.org/officeDocument/2006/relationships/hyperlink" Target="http://july.fixedreference.org/en/20040724/wikipedia/Testosterone" TargetMode="External"/><Relationship Id="rId12" Type="http://schemas.openxmlformats.org/officeDocument/2006/relationships/hyperlink" Target="http://july.fixedreference.org/en/20040724/wikipedia/Urea" TargetMode="External"/><Relationship Id="rId17" Type="http://schemas.openxmlformats.org/officeDocument/2006/relationships/hyperlink" Target="http://july.fixedreference.org/en/20040724/wikipedia/Alanine_transaminase" TargetMode="External"/><Relationship Id="rId9" Type="http://schemas.openxmlformats.org/officeDocument/2006/relationships/hyperlink" Target="http://www.ncbi.nlm.nih.gov/pmc/articles/PMC2731690/" TargetMode="External"/><Relationship Id="rId18" Type="http://schemas.openxmlformats.org/officeDocument/2006/relationships/hyperlink" Target="http://july.fixedreference.org/en/20040724/wikipedia/Creatine_kinase" TargetMode="External"/><Relationship Id="rId3" Type="http://schemas.openxmlformats.org/officeDocument/2006/relationships/webSettings" Target="webSettings.xml"/><Relationship Id="rId27" Type="http://schemas.openxmlformats.org/officeDocument/2006/relationships/hyperlink" Target="http://july.fixedreference.org/en/20040724/wikipedia/High_density_lipoprotein" TargetMode="External"/><Relationship Id="rId14" Type="http://schemas.openxmlformats.org/officeDocument/2006/relationships/hyperlink" Target="http://july.fixedreference.org/en/20040724/wikipedia/Glucose" TargetMode="External"/><Relationship Id="rId23" Type="http://schemas.openxmlformats.org/officeDocument/2006/relationships/hyperlink" Target="http://july.fixedreference.org/en/20040724/wikipedia/Copper" TargetMode="External"/><Relationship Id="rId4" Type="http://schemas.openxmlformats.org/officeDocument/2006/relationships/image" Target="media/image1.png"/><Relationship Id="rId28" Type="http://schemas.openxmlformats.org/officeDocument/2006/relationships/hyperlink" Target="http://july.fixedreference.org/en/20040724/wikipedia/Low_density_lipoprotein" TargetMode="External"/><Relationship Id="rId45" Type="http://schemas.openxmlformats.org/officeDocument/2006/relationships/hyperlink" Target="http://july.fixedreference.org/en/20040724/wikipedia/Fibrin" TargetMode="External"/><Relationship Id="rId26" Type="http://schemas.openxmlformats.org/officeDocument/2006/relationships/hyperlink" Target="http://july.fixedreference.org/en/20040724/wikipedia/Cholesterol" TargetMode="External"/><Relationship Id="rId30" Type="http://schemas.openxmlformats.org/officeDocument/2006/relationships/hyperlink" Target="http://july.fixedreference.org/en/20040724/wikipedia/Prostate_specific_antigen" TargetMode="External"/><Relationship Id="rId11" Type="http://schemas.openxmlformats.org/officeDocument/2006/relationships/hyperlink" Target="http://july.fixedreference.org/en/20040724/wikipedia/Potassium" TargetMode="External"/><Relationship Id="rId42" Type="http://schemas.openxmlformats.org/officeDocument/2006/relationships/hyperlink" Target="http://july.fixedreference.org/en/20040724/wikipedia/Lymphocyte" TargetMode="External"/><Relationship Id="rId29" Type="http://schemas.openxmlformats.org/officeDocument/2006/relationships/hyperlink" Target="http://july.fixedreference.org/en/20040724/wikipedia/Alpha-fetoprotein" TargetMode="External"/><Relationship Id="rId6" Type="http://schemas.openxmlformats.org/officeDocument/2006/relationships/hyperlink" Target="http://www.ncbi.nlm.nih.gov/pmc/about/copyright.html" TargetMode="External"/><Relationship Id="rId16" Type="http://schemas.openxmlformats.org/officeDocument/2006/relationships/hyperlink" Target="http://july.fixedreference.org/en/20040724/wikipedia/Bilirubin" TargetMode="External"/><Relationship Id="rId33" Type="http://schemas.openxmlformats.org/officeDocument/2006/relationships/hyperlink" Target="http://july.fixedreference.org/en/20040724/wikipedia/Thyroid_hormone" TargetMode="External"/><Relationship Id="rId44" Type="http://schemas.openxmlformats.org/officeDocument/2006/relationships/hyperlink" Target="http://july.fixedreference.org/en/20040724/wikipedia/International_normalized_ratio" TargetMode="External"/><Relationship Id="rId41" Type="http://schemas.openxmlformats.org/officeDocument/2006/relationships/hyperlink" Target="http://july.fixedreference.org/en/20040724/wikipedia/Erythrocyte_sedimentation_rate" TargetMode="External"/><Relationship Id="rId5" Type="http://schemas.openxmlformats.org/officeDocument/2006/relationships/image" Target="media/image2.emf"/><Relationship Id="rId15" Type="http://schemas.openxmlformats.org/officeDocument/2006/relationships/hyperlink" Target="http://july.fixedreference.org/en/20040724/wikipedia/Albumin" TargetMode="External"/><Relationship Id="rId19" Type="http://schemas.openxmlformats.org/officeDocument/2006/relationships/hyperlink" Target="http://july.fixedreference.org/en/20040724/wikipedia/Lactate_dehydrogenase" TargetMode="External"/><Relationship Id="rId38" Type="http://schemas.openxmlformats.org/officeDocument/2006/relationships/hyperlink" Target="http://july.fixedreference.org/en/20040724/wikipedia/Hemoglobin" TargetMode="External"/><Relationship Id="rId20" Type="http://schemas.openxmlformats.org/officeDocument/2006/relationships/hyperlink" Target="http://july.fixedreference.org/en/20040724/wikipedia/Amylase" TargetMode="External"/><Relationship Id="rId22" Type="http://schemas.openxmlformats.org/officeDocument/2006/relationships/hyperlink" Target="http://july.fixedreference.org/en/20040724/wikipedia/Calcium" TargetMode="External"/><Relationship Id="rId21" Type="http://schemas.openxmlformats.org/officeDocument/2006/relationships/hyperlink" Target="http://july.fixedreference.org/en/20040724/wikipedia/C-reactive_protein" TargetMode="Externa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1784</Words>
  <Characters>10170</Characters>
  <Application>Microsoft Macintosh Word</Application>
  <DocSecurity>0</DocSecurity>
  <Lines>84</Lines>
  <Paragraphs>20</Paragraphs>
  <ScaleCrop>false</ScaleCrop>
  <Company>Toshiba</Company>
  <LinksUpToDate>false</LinksUpToDate>
  <CharactersWithSpaces>12489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Susie Stephens</cp:lastModifiedBy>
  <cp:revision>2</cp:revision>
  <dcterms:created xsi:type="dcterms:W3CDTF">2009-11-07T19:23:00Z</dcterms:created>
  <dcterms:modified xsi:type="dcterms:W3CDTF">2009-11-07T19:23:00Z</dcterms:modified>
</cp:coreProperties>
</file>